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theme/themeOverride9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3ED49" w14:textId="0D717674" w:rsidR="00F47A45" w:rsidRPr="00BD06DE" w:rsidRDefault="008F10F2" w:rsidP="00486A8A">
      <w:pPr>
        <w:spacing w:after="160" w:line="259" w:lineRule="auto"/>
        <w:jc w:val="center"/>
        <w:rPr>
          <w:rFonts w:ascii="Tahoma" w:hAnsi="Tahoma" w:cs="Tahoma"/>
          <w:b/>
          <w:bCs/>
          <w:color w:val="2F5496" w:themeColor="accent1" w:themeShade="BF"/>
          <w:sz w:val="32"/>
          <w:szCs w:val="32"/>
        </w:rPr>
      </w:pPr>
      <w:bookmarkStart w:id="0" w:name="_Hlk83023085"/>
      <w:bookmarkEnd w:id="0"/>
      <w:proofErr w:type="spellStart"/>
      <w:r>
        <w:rPr>
          <w:rFonts w:ascii="Tahoma" w:hAnsi="Tahoma" w:cs="Tahoma"/>
          <w:b/>
          <w:bCs/>
          <w:color w:val="2F5496" w:themeColor="accent1" w:themeShade="BF"/>
          <w:sz w:val="32"/>
          <w:szCs w:val="32"/>
        </w:rPr>
        <w:t>Бач</w:t>
      </w:r>
      <w:proofErr w:type="spellEnd"/>
    </w:p>
    <w:p w14:paraId="78E2CD1A" w14:textId="1315140C" w:rsidR="00F47A45" w:rsidRPr="00472B41" w:rsidRDefault="00F47A45" w:rsidP="00486A8A">
      <w:pPr>
        <w:spacing w:after="160" w:line="259" w:lineRule="auto"/>
        <w:jc w:val="center"/>
        <w:rPr>
          <w:rFonts w:ascii="Tahoma" w:hAnsi="Tahoma" w:cs="Tahoma"/>
          <w:color w:val="2F5496" w:themeColor="accent1" w:themeShade="BF"/>
          <w:w w:val="110"/>
          <w:sz w:val="32"/>
          <w:szCs w:val="32"/>
        </w:rPr>
      </w:pPr>
      <w:r w:rsidRPr="00F20101">
        <w:rPr>
          <w:rStyle w:val="Heading1Char"/>
          <w:rFonts w:ascii="Tahoma" w:hAnsi="Tahoma" w:cs="Tahoma"/>
          <w:color w:val="2F5496"/>
          <w:w w:val="110"/>
        </w:rPr>
        <w:t>Инфраструктура</w:t>
      </w:r>
    </w:p>
    <w:p w14:paraId="6B3FCD8F" w14:textId="77777777" w:rsidR="00F47A45" w:rsidRDefault="00F47A45" w:rsidP="00F47A45">
      <w:pPr>
        <w:rPr>
          <w:rFonts w:ascii="Tahoma" w:hAnsi="Tahoma" w:cs="Tahoma"/>
        </w:rPr>
      </w:pPr>
    </w:p>
    <w:p w14:paraId="3510FBB9" w14:textId="738C5FB0" w:rsidR="00946C98" w:rsidRPr="00F47A45" w:rsidRDefault="00B76A0A" w:rsidP="00F47A45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r w:rsidRPr="00F47A45">
        <w:rPr>
          <w:rFonts w:ascii="Tahoma" w:hAnsi="Tahoma" w:cs="Tahoma"/>
          <w:b/>
          <w:bCs/>
          <w:sz w:val="28"/>
          <w:szCs w:val="28"/>
        </w:rPr>
        <w:t>Становништво</w:t>
      </w:r>
    </w:p>
    <w:p w14:paraId="4DD4D458" w14:textId="4AB31A2D" w:rsidR="0044693E" w:rsidRPr="00F47A45" w:rsidRDefault="0044693E" w:rsidP="0044693E">
      <w:pPr>
        <w:spacing w:after="160" w:line="259" w:lineRule="auto"/>
        <w:rPr>
          <w:rFonts w:ascii="Tahoma" w:hAnsi="Tahoma" w:cs="Tahoma"/>
        </w:rPr>
      </w:pPr>
      <w:r w:rsidRPr="00F47A45">
        <w:rPr>
          <w:rFonts w:ascii="Tahoma" w:hAnsi="Tahoma" w:cs="Tahoma"/>
        </w:rPr>
        <w:t xml:space="preserve">Пројекције броја становника за </w:t>
      </w:r>
      <w:r w:rsidR="00C77483">
        <w:rPr>
          <w:rFonts w:ascii="Tahoma" w:hAnsi="Tahoma" w:cs="Tahoma"/>
        </w:rPr>
        <w:t xml:space="preserve">општину </w:t>
      </w:r>
      <w:proofErr w:type="spellStart"/>
      <w:r w:rsidR="00C77483">
        <w:rPr>
          <w:rFonts w:ascii="Tahoma" w:hAnsi="Tahoma" w:cs="Tahoma"/>
        </w:rPr>
        <w:t>Бач</w:t>
      </w:r>
      <w:proofErr w:type="spellEnd"/>
      <w:r w:rsidR="00C77483">
        <w:rPr>
          <w:rFonts w:ascii="Tahoma" w:hAnsi="Tahoma" w:cs="Tahoma"/>
        </w:rPr>
        <w:t xml:space="preserve"> </w:t>
      </w:r>
      <w:r w:rsidRPr="00F47A45">
        <w:rPr>
          <w:rFonts w:ascii="Tahoma" w:hAnsi="Tahoma" w:cs="Tahoma"/>
        </w:rPr>
        <w:t>предвиђају</w:t>
      </w:r>
      <w:r w:rsidR="00C77483" w:rsidRPr="00C77483">
        <w:t xml:space="preserve"> </w:t>
      </w:r>
      <w:r w:rsidR="00C77483" w:rsidRPr="00C77483">
        <w:rPr>
          <w:rFonts w:ascii="Tahoma" w:hAnsi="Tahoma" w:cs="Tahoma"/>
          <w:b/>
          <w:bCs/>
          <w:color w:val="2F5496"/>
        </w:rPr>
        <w:t>значајан пад становништва што је кључно за разматрање развојних планова и сагледавање могућих покретачких развојних снага</w:t>
      </w:r>
      <w:r w:rsidR="00C77483" w:rsidRPr="00C77483">
        <w:rPr>
          <w:rFonts w:ascii="Tahoma" w:hAnsi="Tahoma" w:cs="Tahoma"/>
        </w:rPr>
        <w:t>, али и за планирање могућих мера за спречавање таквог развоја</w:t>
      </w:r>
      <w:r w:rsidRPr="00F47A45">
        <w:rPr>
          <w:rFonts w:ascii="Tahoma" w:hAnsi="Tahoma" w:cs="Tahoma"/>
        </w:rPr>
        <w:t>.</w:t>
      </w:r>
    </w:p>
    <w:p w14:paraId="7D0A9B64" w14:textId="77777777" w:rsidR="001539F1" w:rsidRPr="001539F1" w:rsidRDefault="001539F1" w:rsidP="001539F1">
      <w:pPr>
        <w:pStyle w:val="Caption"/>
        <w:spacing w:after="0" w:line="259" w:lineRule="auto"/>
        <w:rPr>
          <w:rFonts w:ascii="Tahoma" w:hAnsi="Tahoma" w:cs="Tahoma"/>
          <w:i w:val="0"/>
          <w:iCs w:val="0"/>
          <w:color w:val="2F5496" w:themeColor="accent1" w:themeShade="BF"/>
          <w:sz w:val="10"/>
          <w:szCs w:val="10"/>
          <w:lang w:val="sr-Cyrl-RS"/>
        </w:rPr>
      </w:pPr>
    </w:p>
    <w:p w14:paraId="380EE5E2" w14:textId="64075872" w:rsidR="0057241D" w:rsidRPr="00F47A45" w:rsidRDefault="00FA25C1" w:rsidP="00F47A45">
      <w:pPr>
        <w:pStyle w:val="Caption"/>
        <w:spacing w:after="80" w:line="259" w:lineRule="auto"/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</w:pPr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 xml:space="preserve">Табела </w:t>
      </w:r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fldChar w:fldCharType="begin"/>
      </w:r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instrText xml:space="preserve"> SEQ Табела \* ARABIC </w:instrText>
      </w:r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fldChar w:fldCharType="separate"/>
      </w:r>
      <w:r w:rsidR="00211835"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>1</w:t>
      </w:r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fldChar w:fldCharType="end"/>
      </w:r>
      <w:r w:rsidR="00F47A45"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>.</w:t>
      </w:r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 xml:space="preserve"> Становништво општине </w:t>
      </w:r>
      <w:proofErr w:type="spellStart"/>
      <w:r w:rsidR="00A06793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>Бач</w:t>
      </w:r>
      <w:proofErr w:type="spellEnd"/>
      <w:r w:rsidRPr="00F47A45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>: пописни подаци и пописне пројекције</w:t>
      </w:r>
    </w:p>
    <w:tbl>
      <w:tblPr>
        <w:tblStyle w:val="TableGrid"/>
        <w:tblW w:w="85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87"/>
        <w:gridCol w:w="928"/>
        <w:gridCol w:w="938"/>
        <w:gridCol w:w="987"/>
        <w:gridCol w:w="935"/>
        <w:gridCol w:w="951"/>
        <w:gridCol w:w="987"/>
        <w:gridCol w:w="900"/>
        <w:gridCol w:w="947"/>
      </w:tblGrid>
      <w:tr w:rsidR="00551FBC" w:rsidRPr="00F47A45" w14:paraId="3211E052" w14:textId="77777777" w:rsidTr="00644B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53" w:type="dxa"/>
            <w:gridSpan w:val="3"/>
            <w:tcBorders>
              <w:bottom w:val="none" w:sz="0" w:space="0" w:color="auto"/>
              <w:right w:val="none" w:sz="0" w:space="0" w:color="auto"/>
            </w:tcBorders>
            <w:shd w:val="clear" w:color="auto" w:fill="2F5496" w:themeFill="accent1" w:themeFillShade="BF"/>
            <w:noWrap/>
            <w:hideMark/>
          </w:tcPr>
          <w:p w14:paraId="10C3EB0B" w14:textId="77777777" w:rsidR="00551FBC" w:rsidRPr="00F47A45" w:rsidRDefault="00551FBC" w:rsidP="00F47A45">
            <w:pPr>
              <w:jc w:val="center"/>
              <w:rPr>
                <w:rFonts w:ascii="Tahoma" w:eastAsia="Times New Roman" w:hAnsi="Tahoma" w:cs="Tahoma"/>
                <w:b/>
                <w:bCs/>
                <w:i w:val="0"/>
                <w:iCs w:val="0"/>
                <w:color w:val="FFFFFF" w:themeColor="background1"/>
                <w:sz w:val="21"/>
                <w:szCs w:val="21"/>
              </w:rPr>
            </w:pPr>
            <w:r w:rsidRPr="00F47A45">
              <w:rPr>
                <w:rFonts w:ascii="Tahoma" w:eastAsia="Times New Roman" w:hAnsi="Tahoma" w:cs="Tahoma"/>
                <w:b/>
                <w:bCs/>
                <w:i w:val="0"/>
                <w:iCs w:val="0"/>
                <w:color w:val="FFFFFF" w:themeColor="background1"/>
                <w:sz w:val="21"/>
                <w:szCs w:val="21"/>
              </w:rPr>
              <w:t>2011</w:t>
            </w:r>
          </w:p>
        </w:tc>
        <w:tc>
          <w:tcPr>
            <w:tcW w:w="5706" w:type="dxa"/>
            <w:gridSpan w:val="6"/>
            <w:tcBorders>
              <w:bottom w:val="none" w:sz="0" w:space="0" w:color="auto"/>
            </w:tcBorders>
            <w:shd w:val="clear" w:color="auto" w:fill="2F5496" w:themeFill="accent1" w:themeFillShade="BF"/>
            <w:noWrap/>
            <w:hideMark/>
          </w:tcPr>
          <w:p w14:paraId="471CAC7C" w14:textId="77777777" w:rsidR="00551FBC" w:rsidRPr="00F47A45" w:rsidRDefault="00551FBC" w:rsidP="00F47A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bCs/>
                <w:i w:val="0"/>
                <w:iCs w:val="0"/>
                <w:color w:val="FFFFFF" w:themeColor="background1"/>
                <w:sz w:val="21"/>
                <w:szCs w:val="21"/>
              </w:rPr>
            </w:pPr>
            <w:r w:rsidRPr="00F47A45">
              <w:rPr>
                <w:rFonts w:ascii="Tahoma" w:eastAsia="Times New Roman" w:hAnsi="Tahoma" w:cs="Tahoma"/>
                <w:b/>
                <w:bCs/>
                <w:i w:val="0"/>
                <w:iCs w:val="0"/>
                <w:color w:val="FFFFFF" w:themeColor="background1"/>
                <w:sz w:val="21"/>
                <w:szCs w:val="21"/>
              </w:rPr>
              <w:t>2041</w:t>
            </w:r>
          </w:p>
        </w:tc>
      </w:tr>
      <w:tr w:rsidR="00551FBC" w:rsidRPr="00F47A45" w14:paraId="25BFC7FF" w14:textId="77777777" w:rsidTr="00644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gridSpan w:val="3"/>
            <w:tcBorders>
              <w:right w:val="none" w:sz="0" w:space="0" w:color="auto"/>
            </w:tcBorders>
            <w:shd w:val="clear" w:color="auto" w:fill="8EAADB" w:themeFill="accent1" w:themeFillTint="99"/>
            <w:hideMark/>
          </w:tcPr>
          <w:p w14:paraId="72D78A5E" w14:textId="7CD2BB12" w:rsidR="00551FBC" w:rsidRPr="00F47A45" w:rsidRDefault="00551FBC" w:rsidP="00F47A45">
            <w:pPr>
              <w:jc w:val="left"/>
              <w:rPr>
                <w:rFonts w:ascii="Tahoma" w:eastAsia="Times New Roman" w:hAnsi="Tahoma" w:cs="Tahoma"/>
                <w:i w:val="0"/>
                <w:iCs w:val="0"/>
                <w:color w:val="FFFFFF" w:themeColor="background1"/>
                <w:sz w:val="21"/>
                <w:szCs w:val="21"/>
              </w:rPr>
            </w:pPr>
            <w:r w:rsidRPr="00F47A45">
              <w:rPr>
                <w:rFonts w:ascii="Tahoma" w:eastAsia="Times New Roman" w:hAnsi="Tahoma" w:cs="Tahoma"/>
                <w:i w:val="0"/>
                <w:iCs w:val="0"/>
                <w:color w:val="FFFFFF" w:themeColor="background1"/>
                <w:sz w:val="21"/>
                <w:szCs w:val="21"/>
              </w:rPr>
              <w:t>процене становништва средином године</w:t>
            </w:r>
          </w:p>
        </w:tc>
        <w:tc>
          <w:tcPr>
            <w:tcW w:w="2853" w:type="dxa"/>
            <w:gridSpan w:val="3"/>
            <w:shd w:val="clear" w:color="auto" w:fill="8EAADB" w:themeFill="accent1" w:themeFillTint="99"/>
            <w:hideMark/>
          </w:tcPr>
          <w:p w14:paraId="51E43D85" w14:textId="373A1383" w:rsidR="00551FBC" w:rsidRPr="00F47A45" w:rsidRDefault="00551FBC" w:rsidP="00F47A4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FFFFFF" w:themeColor="background1"/>
                <w:sz w:val="21"/>
                <w:szCs w:val="21"/>
              </w:rPr>
            </w:pPr>
            <w:r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t>средња варијанта</w:t>
            </w:r>
            <w:r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br/>
            </w:r>
          </w:p>
        </w:tc>
        <w:tc>
          <w:tcPr>
            <w:tcW w:w="2853" w:type="dxa"/>
            <w:gridSpan w:val="3"/>
            <w:shd w:val="clear" w:color="auto" w:fill="8EAADB" w:themeFill="accent1" w:themeFillTint="99"/>
            <w:hideMark/>
          </w:tcPr>
          <w:p w14:paraId="3C18FD72" w14:textId="3209B79B" w:rsidR="00551FBC" w:rsidRPr="00F47A45" w:rsidRDefault="00551FBC" w:rsidP="00F47A4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FFFFFF" w:themeColor="background1"/>
                <w:sz w:val="21"/>
                <w:szCs w:val="21"/>
              </w:rPr>
            </w:pPr>
            <w:r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t xml:space="preserve">варијанта </w:t>
            </w:r>
            <w:r w:rsidR="00F47A45"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t>нултог</w:t>
            </w:r>
            <w:r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t xml:space="preserve"> </w:t>
            </w:r>
            <w:r w:rsidR="00F47A45"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t>миграционог</w:t>
            </w:r>
            <w:r w:rsidRPr="00F47A45">
              <w:rPr>
                <w:rFonts w:ascii="Tahoma" w:hAnsi="Tahoma" w:cs="Tahoma"/>
                <w:color w:val="FFFFFF" w:themeColor="background1"/>
                <w:sz w:val="21"/>
                <w:szCs w:val="21"/>
              </w:rPr>
              <w:t xml:space="preserve"> салда</w:t>
            </w:r>
          </w:p>
        </w:tc>
      </w:tr>
      <w:tr w:rsidR="00551FBC" w:rsidRPr="00F47A45" w14:paraId="2676C40E" w14:textId="77777777" w:rsidTr="00644BD1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tcBorders>
              <w:bottom w:val="single" w:sz="4" w:space="0" w:color="FFFFFF" w:themeColor="background1"/>
              <w:right w:val="none" w:sz="0" w:space="0" w:color="auto"/>
            </w:tcBorders>
            <w:shd w:val="clear" w:color="auto" w:fill="B4C6E7" w:themeFill="accent1" w:themeFillTint="66"/>
            <w:hideMark/>
          </w:tcPr>
          <w:p w14:paraId="49684359" w14:textId="1E0ED0E3" w:rsidR="00551FBC" w:rsidRPr="00644BD1" w:rsidRDefault="00551FBC">
            <w:pPr>
              <w:rPr>
                <w:rFonts w:ascii="Tahoma" w:eastAsia="Times New Roman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</w:pPr>
            <w:r w:rsidRPr="00644BD1">
              <w:rPr>
                <w:rFonts w:ascii="Tahoma" w:eastAsia="Times New Roman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  <w:t>укупно</w:t>
            </w:r>
          </w:p>
        </w:tc>
        <w:tc>
          <w:tcPr>
            <w:tcW w:w="951" w:type="dxa"/>
            <w:tcBorders>
              <w:bottom w:val="single" w:sz="4" w:space="0" w:color="FFFFFF" w:themeColor="background1"/>
            </w:tcBorders>
            <w:shd w:val="clear" w:color="auto" w:fill="B4C6E7" w:themeFill="accent1" w:themeFillTint="66"/>
            <w:hideMark/>
          </w:tcPr>
          <w:p w14:paraId="3FEC92A3" w14:textId="44DA5C78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644BD1">
              <w:rPr>
                <w:rFonts w:ascii="Tahoma" w:hAnsi="Tahoma" w:cs="Tahoma"/>
                <w:sz w:val="21"/>
                <w:szCs w:val="21"/>
              </w:rPr>
              <w:t>мушко</w:t>
            </w:r>
            <w:r w:rsidRPr="00644BD1">
              <w:rPr>
                <w:rFonts w:ascii="Tahoma" w:hAnsi="Tahoma" w:cs="Tahoma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71C240DE" w14:textId="081A3E97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644BD1">
              <w:rPr>
                <w:rFonts w:ascii="Tahoma" w:hAnsi="Tahoma" w:cs="Tahoma"/>
                <w:sz w:val="21"/>
                <w:szCs w:val="21"/>
              </w:rPr>
              <w:t>женско</w:t>
            </w:r>
            <w:r w:rsidRPr="00644BD1">
              <w:rPr>
                <w:rFonts w:ascii="Tahoma" w:hAnsi="Tahoma" w:cs="Tahoma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443F73B1" w14:textId="71DFD5E8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</w:pPr>
            <w:r w:rsidRP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укупно</w:t>
            </w:r>
            <w:r w:rsidRP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51462EA2" w14:textId="331E282F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644BD1">
              <w:rPr>
                <w:rFonts w:ascii="Tahoma" w:hAnsi="Tahoma" w:cs="Tahoma"/>
                <w:sz w:val="21"/>
                <w:szCs w:val="21"/>
              </w:rPr>
              <w:t>мушко</w:t>
            </w:r>
            <w:r w:rsidRPr="00644BD1">
              <w:rPr>
                <w:rFonts w:ascii="Tahoma" w:hAnsi="Tahoma" w:cs="Tahoma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0C77D4D2" w14:textId="26F85324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644BD1">
              <w:rPr>
                <w:rFonts w:ascii="Tahoma" w:hAnsi="Tahoma" w:cs="Tahoma"/>
                <w:sz w:val="21"/>
                <w:szCs w:val="21"/>
              </w:rPr>
              <w:t>женско</w:t>
            </w:r>
            <w:r w:rsidRPr="00644BD1">
              <w:rPr>
                <w:rFonts w:ascii="Tahoma" w:hAnsi="Tahoma" w:cs="Tahoma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6C2C3934" w14:textId="1F9A4B2C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</w:pPr>
            <w:r w:rsidRP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укупно</w:t>
            </w:r>
            <w:r w:rsidRP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779B7394" w14:textId="7D428835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644BD1">
              <w:rPr>
                <w:rFonts w:ascii="Tahoma" w:hAnsi="Tahoma" w:cs="Tahoma"/>
                <w:sz w:val="21"/>
                <w:szCs w:val="21"/>
              </w:rPr>
              <w:t>мушко</w:t>
            </w:r>
            <w:r w:rsidRPr="00644BD1">
              <w:rPr>
                <w:rFonts w:ascii="Tahoma" w:hAnsi="Tahoma" w:cs="Tahoma"/>
                <w:sz w:val="21"/>
                <w:szCs w:val="21"/>
              </w:rPr>
              <w:br/>
            </w:r>
          </w:p>
        </w:tc>
        <w:tc>
          <w:tcPr>
            <w:tcW w:w="951" w:type="dxa"/>
            <w:shd w:val="clear" w:color="auto" w:fill="B4C6E7" w:themeFill="accent1" w:themeFillTint="66"/>
            <w:hideMark/>
          </w:tcPr>
          <w:p w14:paraId="21ADDFFD" w14:textId="7C70666A" w:rsidR="00551FBC" w:rsidRPr="00644BD1" w:rsidRDefault="00551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644BD1">
              <w:rPr>
                <w:rFonts w:ascii="Tahoma" w:hAnsi="Tahoma" w:cs="Tahoma"/>
                <w:sz w:val="21"/>
                <w:szCs w:val="21"/>
              </w:rPr>
              <w:t>женско</w:t>
            </w:r>
            <w:r w:rsidRPr="00644BD1">
              <w:rPr>
                <w:rFonts w:ascii="Tahoma" w:hAnsi="Tahoma" w:cs="Tahoma"/>
                <w:sz w:val="21"/>
                <w:szCs w:val="21"/>
              </w:rPr>
              <w:br/>
            </w:r>
          </w:p>
        </w:tc>
      </w:tr>
      <w:tr w:rsidR="00644BD1" w:rsidRPr="00F47A45" w14:paraId="46D270B9" w14:textId="77777777" w:rsidTr="00644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tcBorders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158B1592" w14:textId="41F64ECB" w:rsidR="008915DC" w:rsidRPr="00644BD1" w:rsidRDefault="008915DC" w:rsidP="00644BD1">
            <w:pPr>
              <w:jc w:val="right"/>
              <w:rPr>
                <w:rFonts w:ascii="Tahoma" w:eastAsia="Times New Roman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</w:pPr>
            <w:r w:rsidRPr="00644BD1">
              <w:rPr>
                <w:rFonts w:ascii="Tahoma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  <w:t>1</w:t>
            </w:r>
            <w:r w:rsidR="00492531">
              <w:rPr>
                <w:rFonts w:ascii="Tahoma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  <w:t>4</w:t>
            </w:r>
            <w:r w:rsidR="00644BD1">
              <w:rPr>
                <w:rFonts w:ascii="Tahoma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  <w:t>.</w:t>
            </w:r>
            <w:r w:rsidR="00492531">
              <w:rPr>
                <w:rFonts w:ascii="Tahoma" w:hAnsi="Tahoma" w:cs="Tahoma"/>
                <w:b/>
                <w:bCs/>
                <w:i w:val="0"/>
                <w:iCs w:val="0"/>
                <w:color w:val="1F3864" w:themeColor="accent1" w:themeShade="80"/>
                <w:sz w:val="21"/>
                <w:szCs w:val="21"/>
              </w:rPr>
              <w:t>425</w:t>
            </w:r>
          </w:p>
        </w:tc>
        <w:tc>
          <w:tcPr>
            <w:tcW w:w="951" w:type="dxa"/>
            <w:tcBorders>
              <w:left w:val="single" w:sz="4" w:space="0" w:color="FFFFFF" w:themeColor="background1"/>
            </w:tcBorders>
            <w:shd w:val="clear" w:color="auto" w:fill="D9E2F3" w:themeFill="accent1" w:themeFillTint="33"/>
          </w:tcPr>
          <w:p w14:paraId="13C750DE" w14:textId="0A352669" w:rsidR="008915DC" w:rsidRPr="00F47A45" w:rsidRDefault="00492531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7.150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60760B6B" w14:textId="03264AEF" w:rsidR="008915DC" w:rsidRPr="00F47A45" w:rsidRDefault="00492531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7</w:t>
            </w:r>
            <w:r w:rsidR="00644BD1">
              <w:rPr>
                <w:rFonts w:ascii="Tahoma" w:hAnsi="Tahoma" w:cs="Tahoma"/>
                <w:color w:val="000000"/>
                <w:sz w:val="21"/>
                <w:szCs w:val="21"/>
              </w:rPr>
              <w:t>.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275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2BA0FF9C" w14:textId="4FB99807" w:rsidR="008915DC" w:rsidRPr="00644BD1" w:rsidRDefault="008915DC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</w:pPr>
            <w:r w:rsidRP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1</w:t>
            </w:r>
            <w:r w:rsidR="0049253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1</w:t>
            </w:r>
            <w:r w:rsid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.</w:t>
            </w:r>
            <w:r w:rsidR="0049253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741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5A7AC130" w14:textId="3EDAEADB" w:rsidR="008915DC" w:rsidRPr="00F47A45" w:rsidRDefault="00492531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5.864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32522D26" w14:textId="5A20C549" w:rsidR="008915DC" w:rsidRPr="00F47A45" w:rsidRDefault="00492531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5.877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159AD510" w14:textId="331D0026" w:rsidR="008915DC" w:rsidRPr="00644BD1" w:rsidRDefault="008915DC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</w:pPr>
            <w:r w:rsidRP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1</w:t>
            </w:r>
            <w:r w:rsidR="0049253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1</w:t>
            </w:r>
            <w:r w:rsidR="00644BD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.</w:t>
            </w:r>
            <w:r w:rsidR="00492531">
              <w:rPr>
                <w:rFonts w:ascii="Tahoma" w:hAnsi="Tahoma" w:cs="Tahoma"/>
                <w:b/>
                <w:bCs/>
                <w:color w:val="1F3864" w:themeColor="accent1" w:themeShade="80"/>
                <w:sz w:val="21"/>
                <w:szCs w:val="21"/>
              </w:rPr>
              <w:t>701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6FEC7A83" w14:textId="03C3AF7E" w:rsidR="008915DC" w:rsidRPr="00F47A45" w:rsidRDefault="00492531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5.885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5E24DA2A" w14:textId="638E9AF2" w:rsidR="008915DC" w:rsidRPr="00F47A45" w:rsidRDefault="00492531" w:rsidP="00644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5</w:t>
            </w:r>
            <w:r w:rsidR="00644BD1">
              <w:rPr>
                <w:rFonts w:ascii="Tahoma" w:hAnsi="Tahoma" w:cs="Tahoma"/>
                <w:color w:val="000000"/>
                <w:sz w:val="21"/>
                <w:szCs w:val="21"/>
              </w:rPr>
              <w:t>.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8</w:t>
            </w:r>
            <w:r w:rsidR="00214741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6</w:t>
            </w:r>
          </w:p>
        </w:tc>
      </w:tr>
    </w:tbl>
    <w:p w14:paraId="1B2AFB00" w14:textId="109ABC9A" w:rsidR="00551FBC" w:rsidRPr="00F47A45" w:rsidRDefault="00FF0319" w:rsidP="00F47A45">
      <w:pPr>
        <w:pStyle w:val="Caption"/>
        <w:spacing w:after="80" w:line="259" w:lineRule="auto"/>
        <w:rPr>
          <w:rFonts w:ascii="Tahoma" w:hAnsi="Tahoma" w:cs="Tahoma"/>
          <w:i w:val="0"/>
          <w:iCs w:val="0"/>
          <w:color w:val="auto"/>
          <w:lang w:val="sr-Cyrl-RS"/>
        </w:rPr>
      </w:pPr>
      <w:r w:rsidRPr="00F47A45">
        <w:rPr>
          <w:rFonts w:ascii="Tahoma" w:hAnsi="Tahoma" w:cs="Tahoma"/>
          <w:i w:val="0"/>
          <w:iCs w:val="0"/>
          <w:color w:val="auto"/>
          <w:lang w:val="sr-Cyrl-RS"/>
        </w:rPr>
        <w:t>Извор: Попис становништва 2011.</w:t>
      </w:r>
      <w:r w:rsidR="00F47A45">
        <w:rPr>
          <w:rFonts w:ascii="Tahoma" w:hAnsi="Tahoma" w:cs="Tahoma"/>
          <w:i w:val="0"/>
          <w:iCs w:val="0"/>
          <w:color w:val="auto"/>
          <w:lang w:val="sr-Cyrl-RS"/>
        </w:rPr>
        <w:t xml:space="preserve"> </w:t>
      </w:r>
      <w:r w:rsidRPr="00F47A45">
        <w:rPr>
          <w:rFonts w:ascii="Tahoma" w:hAnsi="Tahoma" w:cs="Tahoma"/>
          <w:i w:val="0"/>
          <w:iCs w:val="0"/>
          <w:color w:val="auto"/>
          <w:lang w:val="sr-Cyrl-RS"/>
        </w:rPr>
        <w:t>година</w:t>
      </w:r>
      <w:r w:rsidR="00F47A45">
        <w:rPr>
          <w:rFonts w:ascii="Tahoma" w:hAnsi="Tahoma" w:cs="Tahoma"/>
          <w:i w:val="0"/>
          <w:iCs w:val="0"/>
          <w:color w:val="auto"/>
          <w:lang w:val="sr-Cyrl-RS"/>
        </w:rPr>
        <w:t>, Републички завод за статистику.</w:t>
      </w:r>
      <w:r w:rsidRPr="00F47A45">
        <w:rPr>
          <w:rFonts w:ascii="Tahoma" w:hAnsi="Tahoma" w:cs="Tahoma"/>
          <w:i w:val="0"/>
          <w:iCs w:val="0"/>
          <w:color w:val="auto"/>
          <w:lang w:val="sr-Cyrl-RS"/>
        </w:rPr>
        <w:t xml:space="preserve"> </w:t>
      </w:r>
    </w:p>
    <w:p w14:paraId="66ACAAB0" w14:textId="77777777" w:rsidR="00E32401" w:rsidRPr="00F7726E" w:rsidRDefault="00E32401" w:rsidP="00F7726E">
      <w:pPr>
        <w:spacing w:line="259" w:lineRule="auto"/>
        <w:rPr>
          <w:rFonts w:ascii="Tahoma" w:hAnsi="Tahoma" w:cs="Tahoma"/>
          <w:sz w:val="10"/>
          <w:szCs w:val="10"/>
        </w:rPr>
      </w:pPr>
    </w:p>
    <w:p w14:paraId="33436593" w14:textId="3B9C94F0" w:rsidR="0077329D" w:rsidRPr="0077329D" w:rsidRDefault="00B76A0A" w:rsidP="0077329D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r w:rsidRPr="00F20101">
        <w:rPr>
          <w:rFonts w:ascii="Tahoma" w:hAnsi="Tahoma" w:cs="Tahoma"/>
          <w:b/>
          <w:bCs/>
          <w:color w:val="2F5496"/>
          <w:sz w:val="28"/>
          <w:szCs w:val="28"/>
        </w:rPr>
        <w:t>Становање</w:t>
      </w:r>
    </w:p>
    <w:p w14:paraId="48BC2974" w14:textId="589F840D" w:rsidR="00872A8E" w:rsidRDefault="00872A8E" w:rsidP="0077329D">
      <w:pPr>
        <w:spacing w:after="160" w:line="259" w:lineRule="auto"/>
        <w:rPr>
          <w:rFonts w:ascii="Tahoma" w:hAnsi="Tahoma" w:cs="Tahoma"/>
        </w:rPr>
      </w:pPr>
      <w:r w:rsidRPr="00872A8E">
        <w:rPr>
          <w:rFonts w:ascii="Tahoma" w:hAnsi="Tahoma" w:cs="Tahoma"/>
        </w:rPr>
        <w:t xml:space="preserve">Укупан број домаћинстава у општини </w:t>
      </w:r>
      <w:proofErr w:type="spellStart"/>
      <w:r w:rsidRPr="00872A8E">
        <w:rPr>
          <w:rFonts w:ascii="Tahoma" w:hAnsi="Tahoma" w:cs="Tahoma"/>
        </w:rPr>
        <w:t>Бач</w:t>
      </w:r>
      <w:proofErr w:type="spellEnd"/>
      <w:r w:rsidRPr="00872A8E">
        <w:rPr>
          <w:rFonts w:ascii="Tahoma" w:hAnsi="Tahoma" w:cs="Tahoma"/>
        </w:rPr>
        <w:t xml:space="preserve"> је 2011. године износио 5</w:t>
      </w:r>
      <w:r>
        <w:rPr>
          <w:rFonts w:ascii="Tahoma" w:hAnsi="Tahoma" w:cs="Tahoma"/>
        </w:rPr>
        <w:t>.</w:t>
      </w:r>
      <w:r w:rsidRPr="00872A8E">
        <w:rPr>
          <w:rFonts w:ascii="Tahoma" w:hAnsi="Tahoma" w:cs="Tahoma"/>
        </w:rPr>
        <w:t>285 док је укупан број станова за становање износио 6</w:t>
      </w:r>
      <w:r>
        <w:rPr>
          <w:rFonts w:ascii="Tahoma" w:hAnsi="Tahoma" w:cs="Tahoma"/>
        </w:rPr>
        <w:t>.</w:t>
      </w:r>
      <w:r w:rsidRPr="00872A8E">
        <w:rPr>
          <w:rFonts w:ascii="Tahoma" w:hAnsi="Tahoma" w:cs="Tahoma"/>
        </w:rPr>
        <w:t>352. Број настањених станова је износио 5</w:t>
      </w:r>
      <w:r>
        <w:rPr>
          <w:rFonts w:ascii="Tahoma" w:hAnsi="Tahoma" w:cs="Tahoma"/>
        </w:rPr>
        <w:t>.</w:t>
      </w:r>
      <w:r w:rsidRPr="00872A8E">
        <w:rPr>
          <w:rFonts w:ascii="Tahoma" w:hAnsi="Tahoma" w:cs="Tahoma"/>
        </w:rPr>
        <w:t>153 од којих је 4</w:t>
      </w:r>
      <w:r>
        <w:rPr>
          <w:rFonts w:ascii="Tahoma" w:hAnsi="Tahoma" w:cs="Tahoma"/>
        </w:rPr>
        <w:t>.</w:t>
      </w:r>
      <w:r w:rsidRPr="00872A8E">
        <w:rPr>
          <w:rFonts w:ascii="Tahoma" w:hAnsi="Tahoma" w:cs="Tahoma"/>
        </w:rPr>
        <w:t>565 било у власништву станара.</w:t>
      </w:r>
      <w:r>
        <w:rPr>
          <w:rFonts w:ascii="Tahoma" w:hAnsi="Tahoma" w:cs="Tahoma"/>
        </w:rPr>
        <w:t xml:space="preserve"> </w:t>
      </w:r>
    </w:p>
    <w:p w14:paraId="452DB6AF" w14:textId="054AA42B" w:rsidR="00A748B5" w:rsidRPr="0077329D" w:rsidRDefault="00A748B5" w:rsidP="0077329D">
      <w:pPr>
        <w:spacing w:line="259" w:lineRule="auto"/>
        <w:rPr>
          <w:rFonts w:ascii="Tahoma" w:hAnsi="Tahoma" w:cs="Tahoma"/>
          <w:sz w:val="10"/>
          <w:szCs w:val="10"/>
        </w:rPr>
      </w:pPr>
    </w:p>
    <w:p w14:paraId="2C76E9B2" w14:textId="48277110" w:rsidR="001B0EA7" w:rsidRPr="00A62298" w:rsidRDefault="000060CD" w:rsidP="0077329D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77329D">
        <w:rPr>
          <w:rFonts w:ascii="Tahoma" w:hAnsi="Tahoma" w:cs="Tahoma"/>
          <w:color w:val="2F5496"/>
        </w:rPr>
        <w:t>Графикон 1</w:t>
      </w:r>
      <w:r w:rsidR="00E23AF8" w:rsidRPr="0077329D">
        <w:rPr>
          <w:rFonts w:ascii="Tahoma" w:hAnsi="Tahoma" w:cs="Tahoma"/>
          <w:color w:val="2F5496"/>
        </w:rPr>
        <w:t>.</w:t>
      </w:r>
      <w:r w:rsidRPr="0077329D">
        <w:rPr>
          <w:rFonts w:ascii="Tahoma" w:hAnsi="Tahoma" w:cs="Tahoma"/>
          <w:color w:val="2F5496"/>
        </w:rPr>
        <w:t xml:space="preserve"> Број изграђених станова</w:t>
      </w:r>
      <w:r w:rsidR="00A62298">
        <w:rPr>
          <w:rFonts w:ascii="Tahoma" w:hAnsi="Tahoma" w:cs="Tahoma"/>
          <w:color w:val="2F5496"/>
        </w:rPr>
        <w:t xml:space="preserve"> на 1.000 становника, општина </w:t>
      </w:r>
      <w:proofErr w:type="spellStart"/>
      <w:r w:rsidR="00872A8E">
        <w:rPr>
          <w:rFonts w:ascii="Tahoma" w:hAnsi="Tahoma" w:cs="Tahoma"/>
          <w:color w:val="2F5496"/>
        </w:rPr>
        <w:t>Бач</w:t>
      </w:r>
      <w:proofErr w:type="spellEnd"/>
      <w:r w:rsidR="00A62298">
        <w:rPr>
          <w:rFonts w:ascii="Tahoma" w:hAnsi="Tahoma" w:cs="Tahoma"/>
          <w:color w:val="2F5496"/>
        </w:rPr>
        <w:t xml:space="preserve">, за период 2010-2019. </w:t>
      </w:r>
    </w:p>
    <w:p w14:paraId="604C01D7" w14:textId="1239CAA5" w:rsidR="001B0EA7" w:rsidRPr="00F47A45" w:rsidRDefault="004515F8" w:rsidP="001F2DF2">
      <w:pPr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4E1FC47A" wp14:editId="3515CEF3">
            <wp:extent cx="4314825" cy="2066925"/>
            <wp:effectExtent l="0" t="0" r="9525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ECE37638-776D-4180-993E-60314EA1E6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1405C71" w14:textId="77777777" w:rsidR="001C1DB3" w:rsidRDefault="001C1DB3" w:rsidP="001C1DB3">
      <w:pPr>
        <w:spacing w:after="80" w:line="259" w:lineRule="auto"/>
        <w:rPr>
          <w:rFonts w:ascii="Tahoma" w:hAnsi="Tahoma" w:cs="Tahoma"/>
          <w:sz w:val="18"/>
          <w:szCs w:val="18"/>
        </w:rPr>
      </w:pPr>
      <w:r w:rsidRPr="00AF3C50">
        <w:rPr>
          <w:rFonts w:ascii="Tahoma" w:hAnsi="Tahoma" w:cs="Tahoma"/>
          <w:sz w:val="18"/>
          <w:szCs w:val="18"/>
        </w:rPr>
        <w:t xml:space="preserve">Извор: Републички завод за статистику, </w:t>
      </w:r>
      <w:proofErr w:type="spellStart"/>
      <w:r w:rsidRPr="00AF3C50">
        <w:rPr>
          <w:rFonts w:ascii="Tahoma" w:hAnsi="Tahoma" w:cs="Tahoma"/>
          <w:sz w:val="18"/>
          <w:szCs w:val="18"/>
        </w:rPr>
        <w:t>ДевИнфо</w:t>
      </w:r>
      <w:proofErr w:type="spellEnd"/>
      <w:r w:rsidRPr="00AF3C50">
        <w:rPr>
          <w:rFonts w:ascii="Tahoma" w:hAnsi="Tahoma" w:cs="Tahoma"/>
          <w:sz w:val="18"/>
          <w:szCs w:val="18"/>
        </w:rPr>
        <w:t xml:space="preserve"> база</w:t>
      </w:r>
      <w:r>
        <w:rPr>
          <w:rFonts w:ascii="Tahoma" w:hAnsi="Tahoma" w:cs="Tahoma"/>
          <w:sz w:val="18"/>
          <w:szCs w:val="18"/>
        </w:rPr>
        <w:t>.</w:t>
      </w:r>
    </w:p>
    <w:p w14:paraId="785BAC9B" w14:textId="3139791B" w:rsidR="001C1DB3" w:rsidRPr="00D6165A" w:rsidRDefault="001C1DB3" w:rsidP="00D6165A">
      <w:pPr>
        <w:spacing w:line="259" w:lineRule="auto"/>
        <w:rPr>
          <w:rFonts w:ascii="Tahoma" w:eastAsia="Open Sans" w:hAnsi="Tahoma" w:cs="Tahoma"/>
          <w:sz w:val="10"/>
          <w:szCs w:val="10"/>
        </w:rPr>
      </w:pPr>
    </w:p>
    <w:p w14:paraId="75D73423" w14:textId="4A27B175" w:rsidR="002B7535" w:rsidRPr="00F47A45" w:rsidRDefault="002B7535" w:rsidP="0077329D">
      <w:pPr>
        <w:spacing w:after="160" w:line="259" w:lineRule="auto"/>
        <w:rPr>
          <w:rFonts w:ascii="Tahoma" w:hAnsi="Tahoma" w:cs="Tahoma"/>
        </w:rPr>
      </w:pPr>
      <w:r w:rsidRPr="002B7535">
        <w:rPr>
          <w:rFonts w:ascii="Tahoma" w:hAnsi="Tahoma" w:cs="Tahoma"/>
        </w:rPr>
        <w:t>У 2019. години</w:t>
      </w:r>
      <w:r>
        <w:rPr>
          <w:rFonts w:ascii="Tahoma" w:hAnsi="Tahoma" w:cs="Tahoma"/>
        </w:rPr>
        <w:t>,</w:t>
      </w:r>
      <w:r w:rsidRPr="002B7535">
        <w:rPr>
          <w:rFonts w:ascii="Tahoma" w:hAnsi="Tahoma" w:cs="Tahoma"/>
        </w:rPr>
        <w:t xml:space="preserve"> у општини </w:t>
      </w:r>
      <w:proofErr w:type="spellStart"/>
      <w:r w:rsidRPr="002B7535">
        <w:rPr>
          <w:rFonts w:ascii="Tahoma" w:hAnsi="Tahoma" w:cs="Tahoma"/>
        </w:rPr>
        <w:t>Бач</w:t>
      </w:r>
      <w:proofErr w:type="spellEnd"/>
      <w:r w:rsidRPr="002B7535">
        <w:rPr>
          <w:rFonts w:ascii="Tahoma" w:hAnsi="Tahoma" w:cs="Tahoma"/>
        </w:rPr>
        <w:t xml:space="preserve"> је изграђено 10 станова просечне површине 97,7</w:t>
      </w:r>
      <w:r w:rsidRPr="00F47A45">
        <w:rPr>
          <w:rFonts w:ascii="Tahoma" w:hAnsi="Tahoma" w:cs="Tahoma"/>
        </w:rPr>
        <w:t>m²</w:t>
      </w:r>
      <w:r>
        <w:rPr>
          <w:rFonts w:ascii="Tahoma" w:hAnsi="Tahoma" w:cs="Tahoma"/>
        </w:rPr>
        <w:t xml:space="preserve">, </w:t>
      </w:r>
      <w:r w:rsidRPr="002B7535">
        <w:rPr>
          <w:rFonts w:ascii="Tahoma" w:hAnsi="Tahoma" w:cs="Tahoma"/>
        </w:rPr>
        <w:t>што износи 0,8 станова на 1</w:t>
      </w:r>
      <w:r>
        <w:rPr>
          <w:rFonts w:ascii="Tahoma" w:hAnsi="Tahoma" w:cs="Tahoma"/>
        </w:rPr>
        <w:t>.</w:t>
      </w:r>
      <w:r w:rsidRPr="002B7535">
        <w:rPr>
          <w:rFonts w:ascii="Tahoma" w:hAnsi="Tahoma" w:cs="Tahoma"/>
        </w:rPr>
        <w:t xml:space="preserve">000 становника чиме се </w:t>
      </w:r>
      <w:proofErr w:type="spellStart"/>
      <w:r w:rsidRPr="002B7535">
        <w:rPr>
          <w:rFonts w:ascii="Tahoma" w:hAnsi="Tahoma" w:cs="Tahoma"/>
        </w:rPr>
        <w:t>Бач</w:t>
      </w:r>
      <w:proofErr w:type="spellEnd"/>
      <w:r w:rsidRPr="002B7535">
        <w:rPr>
          <w:rFonts w:ascii="Tahoma" w:hAnsi="Tahoma" w:cs="Tahoma"/>
        </w:rPr>
        <w:t xml:space="preserve"> сврстава у горњу половину у групи локалних самоуправа са којима смо </w:t>
      </w:r>
      <w:proofErr w:type="spellStart"/>
      <w:r w:rsidRPr="002B7535">
        <w:rPr>
          <w:rFonts w:ascii="Tahoma" w:hAnsi="Tahoma" w:cs="Tahoma"/>
        </w:rPr>
        <w:t>Бач</w:t>
      </w:r>
      <w:proofErr w:type="spellEnd"/>
      <w:r w:rsidRPr="002B7535">
        <w:rPr>
          <w:rFonts w:ascii="Tahoma" w:hAnsi="Tahoma" w:cs="Tahoma"/>
        </w:rPr>
        <w:t xml:space="preserve"> поредили у овој анализи. У тој групи се налазе локалне самоуправе које припадају III категорији развијености са бројем становника између 10.000 и 20.000.</w:t>
      </w:r>
      <w:r>
        <w:rPr>
          <w:rFonts w:ascii="Tahoma" w:hAnsi="Tahoma" w:cs="Tahoma"/>
        </w:rPr>
        <w:t xml:space="preserve"> </w:t>
      </w:r>
    </w:p>
    <w:p w14:paraId="7AC657B5" w14:textId="77777777" w:rsidR="001B0EA7" w:rsidRPr="005A742E" w:rsidRDefault="001B0EA7" w:rsidP="0077329D">
      <w:pPr>
        <w:spacing w:line="259" w:lineRule="auto"/>
        <w:rPr>
          <w:rFonts w:ascii="Tahoma" w:hAnsi="Tahoma" w:cs="Tahoma"/>
          <w:sz w:val="10"/>
          <w:szCs w:val="10"/>
          <w:lang w:val="sr-Latn-RS"/>
        </w:rPr>
      </w:pPr>
    </w:p>
    <w:p w14:paraId="3E205306" w14:textId="56B16553" w:rsidR="00B76A0A" w:rsidRDefault="000060CD" w:rsidP="00817819">
      <w:pPr>
        <w:spacing w:after="80" w:line="259" w:lineRule="auto"/>
        <w:jc w:val="left"/>
        <w:rPr>
          <w:noProof/>
        </w:rPr>
      </w:pPr>
      <w:r w:rsidRPr="0077329D">
        <w:rPr>
          <w:rFonts w:ascii="Tahoma" w:hAnsi="Tahoma" w:cs="Tahoma"/>
          <w:color w:val="2F5496"/>
        </w:rPr>
        <w:t>Графикон 2</w:t>
      </w:r>
      <w:r w:rsidR="00E23AF8" w:rsidRPr="0077329D">
        <w:rPr>
          <w:rFonts w:ascii="Tahoma" w:hAnsi="Tahoma" w:cs="Tahoma"/>
          <w:color w:val="2F5496"/>
        </w:rPr>
        <w:t>.</w:t>
      </w:r>
      <w:r w:rsidRPr="0077329D">
        <w:rPr>
          <w:rFonts w:ascii="Tahoma" w:hAnsi="Tahoma" w:cs="Tahoma"/>
          <w:color w:val="2F5496"/>
        </w:rPr>
        <w:t xml:space="preserve"> Број изграђених станова на 1</w:t>
      </w:r>
      <w:r w:rsidR="0077329D">
        <w:rPr>
          <w:rFonts w:ascii="Tahoma" w:hAnsi="Tahoma" w:cs="Tahoma"/>
          <w:color w:val="2F5496"/>
        </w:rPr>
        <w:t>.</w:t>
      </w:r>
      <w:r w:rsidRPr="0077329D">
        <w:rPr>
          <w:rFonts w:ascii="Tahoma" w:hAnsi="Tahoma" w:cs="Tahoma"/>
          <w:color w:val="2F5496"/>
        </w:rPr>
        <w:t>000 становника</w:t>
      </w:r>
      <w:r w:rsidR="00817819">
        <w:rPr>
          <w:rFonts w:ascii="Tahoma" w:hAnsi="Tahoma" w:cs="Tahoma"/>
          <w:color w:val="2F5496"/>
          <w:lang w:val="sr-Latn-RS"/>
        </w:rPr>
        <w:t>,</w:t>
      </w:r>
      <w:r w:rsidRPr="0077329D">
        <w:rPr>
          <w:rFonts w:ascii="Tahoma" w:hAnsi="Tahoma" w:cs="Tahoma"/>
          <w:color w:val="2F5496"/>
        </w:rPr>
        <w:t xml:space="preserve"> у панелу локалних самоуправа</w:t>
      </w:r>
      <w:r w:rsidR="00817819">
        <w:rPr>
          <w:rFonts w:ascii="Tahoma" w:hAnsi="Tahoma" w:cs="Tahoma"/>
          <w:color w:val="2F5496"/>
        </w:rPr>
        <w:t>, у 2019.</w:t>
      </w:r>
    </w:p>
    <w:p w14:paraId="6E89027B" w14:textId="478E7CEC" w:rsidR="007E5FB1" w:rsidRPr="00817819" w:rsidRDefault="00AD4D73" w:rsidP="00817819">
      <w:pPr>
        <w:spacing w:after="80" w:line="259" w:lineRule="auto"/>
        <w:jc w:val="left"/>
        <w:rPr>
          <w:rFonts w:ascii="Tahoma" w:hAnsi="Tahoma" w:cs="Tahoma"/>
          <w:color w:val="2F5496"/>
        </w:rPr>
      </w:pPr>
      <w:r>
        <w:rPr>
          <w:noProof/>
        </w:rPr>
        <w:drawing>
          <wp:inline distT="0" distB="0" distL="0" distR="0" wp14:anchorId="405B4D2A" wp14:editId="1AD6BBAF">
            <wp:extent cx="5734050" cy="2409825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A04637D-A7B1-4748-882B-A8D3A98A53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F4134AE" w14:textId="3B79A45E" w:rsidR="00817819" w:rsidRPr="00817819" w:rsidRDefault="00817819" w:rsidP="00300E81">
      <w:pPr>
        <w:spacing w:after="80" w:line="259" w:lineRule="auto"/>
        <w:rPr>
          <w:rFonts w:ascii="Tahoma" w:hAnsi="Tahoma" w:cs="Tahoma"/>
          <w:sz w:val="10"/>
          <w:szCs w:val="10"/>
        </w:rPr>
      </w:pPr>
      <w:r w:rsidRPr="00AF3C50">
        <w:rPr>
          <w:rFonts w:ascii="Tahoma" w:hAnsi="Tahoma" w:cs="Tahoma"/>
          <w:sz w:val="18"/>
          <w:szCs w:val="18"/>
        </w:rPr>
        <w:t xml:space="preserve">Извор: Републички завод за статистику, </w:t>
      </w:r>
      <w:proofErr w:type="spellStart"/>
      <w:r w:rsidRPr="00AF3C50">
        <w:rPr>
          <w:rFonts w:ascii="Tahoma" w:hAnsi="Tahoma" w:cs="Tahoma"/>
          <w:sz w:val="18"/>
          <w:szCs w:val="18"/>
        </w:rPr>
        <w:t>ДевИнфо</w:t>
      </w:r>
      <w:proofErr w:type="spellEnd"/>
      <w:r w:rsidRPr="00AF3C50">
        <w:rPr>
          <w:rFonts w:ascii="Tahoma" w:hAnsi="Tahoma" w:cs="Tahoma"/>
          <w:sz w:val="18"/>
          <w:szCs w:val="18"/>
        </w:rPr>
        <w:t xml:space="preserve"> база</w:t>
      </w:r>
      <w:r>
        <w:rPr>
          <w:rFonts w:ascii="Tahoma" w:hAnsi="Tahoma" w:cs="Tahoma"/>
          <w:sz w:val="18"/>
          <w:szCs w:val="18"/>
        </w:rPr>
        <w:t>.</w:t>
      </w:r>
    </w:p>
    <w:p w14:paraId="602335E8" w14:textId="414FAAB4" w:rsidR="00B76A0A" w:rsidRPr="00A748B5" w:rsidRDefault="00B76A0A" w:rsidP="00A748B5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r w:rsidRPr="00A748B5">
        <w:rPr>
          <w:rFonts w:ascii="Tahoma" w:hAnsi="Tahoma" w:cs="Tahoma"/>
          <w:b/>
          <w:bCs/>
          <w:sz w:val="28"/>
          <w:szCs w:val="28"/>
        </w:rPr>
        <w:t>Снабдевање водом за пиће</w:t>
      </w:r>
    </w:p>
    <w:p w14:paraId="5797FE1E" w14:textId="156D895B" w:rsidR="00513645" w:rsidRPr="00513645" w:rsidRDefault="00513645" w:rsidP="00513645">
      <w:pPr>
        <w:spacing w:after="160" w:line="259" w:lineRule="auto"/>
        <w:rPr>
          <w:rFonts w:ascii="Tahoma" w:hAnsi="Tahoma" w:cs="Tahoma"/>
        </w:rPr>
      </w:pPr>
      <w:r w:rsidRPr="00513645">
        <w:rPr>
          <w:rFonts w:ascii="Tahoma" w:hAnsi="Tahoma" w:cs="Tahoma"/>
        </w:rPr>
        <w:t xml:space="preserve">Према претходном развојном планском документу општине </w:t>
      </w:r>
      <w:proofErr w:type="spellStart"/>
      <w:r w:rsidRPr="00513645">
        <w:rPr>
          <w:rFonts w:ascii="Tahoma" w:hAnsi="Tahoma" w:cs="Tahoma"/>
        </w:rPr>
        <w:t>Бач</w:t>
      </w:r>
      <w:proofErr w:type="spellEnd"/>
      <w:r>
        <w:rPr>
          <w:rFonts w:ascii="Tahoma" w:hAnsi="Tahoma" w:cs="Tahoma"/>
        </w:rPr>
        <w:t>,</w:t>
      </w:r>
      <w:r w:rsidRPr="00513645">
        <w:rPr>
          <w:rFonts w:ascii="Tahoma" w:hAnsi="Tahoma" w:cs="Tahoma"/>
        </w:rPr>
        <w:t xml:space="preserve"> </w:t>
      </w:r>
      <w:r w:rsidRPr="00513645">
        <w:rPr>
          <w:rFonts w:ascii="Tahoma" w:hAnsi="Tahoma" w:cs="Tahoma"/>
          <w:b/>
          <w:bCs/>
          <w:color w:val="2F5496"/>
        </w:rPr>
        <w:t>снабдевање водом највишег квалитета оствариће се развојем регионалног система водоснабдевања (Бачки регионални систем)</w:t>
      </w:r>
      <w:r w:rsidRPr="00513645">
        <w:rPr>
          <w:rFonts w:ascii="Tahoma" w:hAnsi="Tahoma" w:cs="Tahoma"/>
        </w:rPr>
        <w:t xml:space="preserve">, из којег ће се водом снабдевати становништво насеља општине </w:t>
      </w:r>
      <w:proofErr w:type="spellStart"/>
      <w:r w:rsidRPr="00513645">
        <w:rPr>
          <w:rFonts w:ascii="Tahoma" w:hAnsi="Tahoma" w:cs="Tahoma"/>
        </w:rPr>
        <w:t>Бач</w:t>
      </w:r>
      <w:proofErr w:type="spellEnd"/>
      <w:r w:rsidRPr="00513645">
        <w:rPr>
          <w:rFonts w:ascii="Tahoma" w:hAnsi="Tahoma" w:cs="Tahoma"/>
        </w:rPr>
        <w:t xml:space="preserve">, као и само они технолошки процеси у којима је неопходна вода највишег квалитета. Дугорочно посматрано, решење водоснабдевања треба тражити у формирању централног постројења за комплетан третман воде, са базирањем на ресурс подземних вода и/или речне воде Дунава и изградњи магистралних повезаних цевовода до свих насеља општине. </w:t>
      </w:r>
    </w:p>
    <w:p w14:paraId="2CB260BF" w14:textId="77CF0B3D" w:rsidR="00513645" w:rsidRDefault="00513645" w:rsidP="00513645">
      <w:pPr>
        <w:spacing w:after="160" w:line="259" w:lineRule="auto"/>
        <w:rPr>
          <w:rFonts w:ascii="Tahoma" w:hAnsi="Tahoma" w:cs="Tahoma"/>
        </w:rPr>
      </w:pPr>
      <w:r w:rsidRPr="00513645">
        <w:rPr>
          <w:rFonts w:ascii="Tahoma" w:hAnsi="Tahoma" w:cs="Tahoma"/>
        </w:rPr>
        <w:t xml:space="preserve">До тада, даљи развој водоснабдевања развијаће се у правцу који је сада у функцији, уз повећање броја црпних бушотина на постојећим или новим извориштима, са изградњом појединачних уређаја за дотеривање квалитета воде по утврђеним критеријумима. Организовано снабдевање водом за пиће путем водоводних система, на територији </w:t>
      </w:r>
      <w:r w:rsidR="00FA7B21">
        <w:rPr>
          <w:rFonts w:ascii="Tahoma" w:hAnsi="Tahoma" w:cs="Tahoma"/>
        </w:rPr>
        <w:t>о</w:t>
      </w:r>
      <w:r w:rsidRPr="00513645">
        <w:rPr>
          <w:rFonts w:ascii="Tahoma" w:hAnsi="Tahoma" w:cs="Tahoma"/>
        </w:rPr>
        <w:t xml:space="preserve">пштине изводи се у свих 6 насељених места. Обезбеђење воде за пиће врши се </w:t>
      </w:r>
      <w:proofErr w:type="spellStart"/>
      <w:r w:rsidRPr="00513645">
        <w:rPr>
          <w:rFonts w:ascii="Tahoma" w:hAnsi="Tahoma" w:cs="Tahoma"/>
        </w:rPr>
        <w:t>каптирањем</w:t>
      </w:r>
      <w:proofErr w:type="spellEnd"/>
      <w:r w:rsidRPr="00513645">
        <w:rPr>
          <w:rFonts w:ascii="Tahoma" w:hAnsi="Tahoma" w:cs="Tahoma"/>
        </w:rPr>
        <w:t xml:space="preserve"> подземних вода основног водоносног комплекса. Свако насељено место (</w:t>
      </w:r>
      <w:proofErr w:type="spellStart"/>
      <w:r w:rsidRPr="00513645">
        <w:rPr>
          <w:rFonts w:ascii="Tahoma" w:hAnsi="Tahoma" w:cs="Tahoma"/>
        </w:rPr>
        <w:t>Бач</w:t>
      </w:r>
      <w:proofErr w:type="spellEnd"/>
      <w:r w:rsidRPr="00513645">
        <w:rPr>
          <w:rFonts w:ascii="Tahoma" w:hAnsi="Tahoma" w:cs="Tahoma"/>
        </w:rPr>
        <w:t xml:space="preserve">, </w:t>
      </w:r>
      <w:proofErr w:type="spellStart"/>
      <w:r w:rsidRPr="00513645">
        <w:rPr>
          <w:rFonts w:ascii="Tahoma" w:hAnsi="Tahoma" w:cs="Tahoma"/>
        </w:rPr>
        <w:t>Вајска</w:t>
      </w:r>
      <w:proofErr w:type="spellEnd"/>
      <w:r w:rsidRPr="00513645">
        <w:rPr>
          <w:rFonts w:ascii="Tahoma" w:hAnsi="Tahoma" w:cs="Tahoma"/>
        </w:rPr>
        <w:t xml:space="preserve">, </w:t>
      </w:r>
      <w:proofErr w:type="spellStart"/>
      <w:r w:rsidRPr="00513645">
        <w:rPr>
          <w:rFonts w:ascii="Tahoma" w:hAnsi="Tahoma" w:cs="Tahoma"/>
        </w:rPr>
        <w:t>Бођани</w:t>
      </w:r>
      <w:proofErr w:type="spellEnd"/>
      <w:r w:rsidRPr="00513645">
        <w:rPr>
          <w:rFonts w:ascii="Tahoma" w:hAnsi="Tahoma" w:cs="Tahoma"/>
        </w:rPr>
        <w:t xml:space="preserve">, </w:t>
      </w:r>
      <w:proofErr w:type="spellStart"/>
      <w:r w:rsidRPr="00513645">
        <w:rPr>
          <w:rFonts w:ascii="Tahoma" w:hAnsi="Tahoma" w:cs="Tahoma"/>
        </w:rPr>
        <w:t>Плавна</w:t>
      </w:r>
      <w:proofErr w:type="spellEnd"/>
      <w:r w:rsidRPr="00513645">
        <w:rPr>
          <w:rFonts w:ascii="Tahoma" w:hAnsi="Tahoma" w:cs="Tahoma"/>
        </w:rPr>
        <w:t xml:space="preserve">, </w:t>
      </w:r>
      <w:proofErr w:type="spellStart"/>
      <w:r w:rsidRPr="00513645">
        <w:rPr>
          <w:rFonts w:ascii="Tahoma" w:hAnsi="Tahoma" w:cs="Tahoma"/>
        </w:rPr>
        <w:t>Селенча</w:t>
      </w:r>
      <w:proofErr w:type="spellEnd"/>
      <w:r w:rsidRPr="00513645">
        <w:rPr>
          <w:rFonts w:ascii="Tahoma" w:hAnsi="Tahoma" w:cs="Tahoma"/>
        </w:rPr>
        <w:t xml:space="preserve"> и Бачко Ново Село) има свој локални водовод, уз чињеницу да је њихов рад под надлежношћу ЈКП Тврђава из Бача. Подземне воде захватају се са бушених бунара, и то: у градском насељу </w:t>
      </w:r>
      <w:proofErr w:type="spellStart"/>
      <w:r w:rsidRPr="00513645">
        <w:rPr>
          <w:rFonts w:ascii="Tahoma" w:hAnsi="Tahoma" w:cs="Tahoma"/>
        </w:rPr>
        <w:t>Бач</w:t>
      </w:r>
      <w:proofErr w:type="spellEnd"/>
      <w:r w:rsidRPr="00513645">
        <w:rPr>
          <w:rFonts w:ascii="Tahoma" w:hAnsi="Tahoma" w:cs="Tahoma"/>
        </w:rPr>
        <w:t xml:space="preserve">, са изворишта Чаир, са четири активна бунара; у насељу </w:t>
      </w:r>
      <w:proofErr w:type="spellStart"/>
      <w:r w:rsidRPr="00513645">
        <w:rPr>
          <w:rFonts w:ascii="Tahoma" w:hAnsi="Tahoma" w:cs="Tahoma"/>
        </w:rPr>
        <w:t>Вајска</w:t>
      </w:r>
      <w:proofErr w:type="spellEnd"/>
      <w:r w:rsidRPr="00513645">
        <w:rPr>
          <w:rFonts w:ascii="Tahoma" w:hAnsi="Tahoma" w:cs="Tahoma"/>
        </w:rPr>
        <w:t xml:space="preserve">, са изворишта које чине два активна бунара; у насељу </w:t>
      </w:r>
      <w:proofErr w:type="spellStart"/>
      <w:r w:rsidRPr="00513645">
        <w:rPr>
          <w:rFonts w:ascii="Tahoma" w:hAnsi="Tahoma" w:cs="Tahoma"/>
        </w:rPr>
        <w:t>Бођани</w:t>
      </w:r>
      <w:proofErr w:type="spellEnd"/>
      <w:r w:rsidRPr="00513645">
        <w:rPr>
          <w:rFonts w:ascii="Tahoma" w:hAnsi="Tahoma" w:cs="Tahoma"/>
        </w:rPr>
        <w:t>, са изворишта које чине два активна бунара;</w:t>
      </w:r>
      <w:r w:rsidR="00FA7B21">
        <w:rPr>
          <w:rFonts w:ascii="Tahoma" w:hAnsi="Tahoma" w:cs="Tahoma"/>
        </w:rPr>
        <w:t xml:space="preserve"> </w:t>
      </w:r>
      <w:r w:rsidRPr="00513645">
        <w:rPr>
          <w:rFonts w:ascii="Tahoma" w:hAnsi="Tahoma" w:cs="Tahoma"/>
        </w:rPr>
        <w:t xml:space="preserve">у насељу </w:t>
      </w:r>
      <w:proofErr w:type="spellStart"/>
      <w:r w:rsidRPr="00513645">
        <w:rPr>
          <w:rFonts w:ascii="Tahoma" w:hAnsi="Tahoma" w:cs="Tahoma"/>
        </w:rPr>
        <w:t>Плавна</w:t>
      </w:r>
      <w:proofErr w:type="spellEnd"/>
      <w:r w:rsidRPr="00513645">
        <w:rPr>
          <w:rFonts w:ascii="Tahoma" w:hAnsi="Tahoma" w:cs="Tahoma"/>
        </w:rPr>
        <w:t xml:space="preserve">, са изворишта које има два активна бунара; у насељу Бачко Ново Село, са изворишта које има три активна бунара; у насељу </w:t>
      </w:r>
      <w:proofErr w:type="spellStart"/>
      <w:r w:rsidRPr="00513645">
        <w:rPr>
          <w:rFonts w:ascii="Tahoma" w:hAnsi="Tahoma" w:cs="Tahoma"/>
        </w:rPr>
        <w:t>Селенча</w:t>
      </w:r>
      <w:proofErr w:type="spellEnd"/>
      <w:r w:rsidRPr="00513645">
        <w:rPr>
          <w:rFonts w:ascii="Tahoma" w:hAnsi="Tahoma" w:cs="Tahoma"/>
        </w:rPr>
        <w:t>, са изворишта које има три активна бунара. Квалитет подземних вода најчешће не задовољава нормативе воде за пиће (повећан садржај гасова</w:t>
      </w:r>
      <w:r w:rsidR="00FA7B21">
        <w:rPr>
          <w:rFonts w:ascii="Tahoma" w:hAnsi="Tahoma" w:cs="Tahoma"/>
        </w:rPr>
        <w:t xml:space="preserve"> као што су</w:t>
      </w:r>
      <w:r w:rsidRPr="00513645">
        <w:rPr>
          <w:rFonts w:ascii="Tahoma" w:hAnsi="Tahoma" w:cs="Tahoma"/>
        </w:rPr>
        <w:t xml:space="preserve"> сумпорводоника и метана, органских материја, хлорида и амонијум јона), те се директно на изворишту врши прерада, поправак квалитета сирове воде.</w:t>
      </w:r>
      <w:r w:rsidR="00FA7B21">
        <w:rPr>
          <w:rFonts w:ascii="Tahoma" w:hAnsi="Tahoma" w:cs="Tahoma"/>
        </w:rPr>
        <w:t xml:space="preserve"> </w:t>
      </w:r>
      <w:r w:rsidRPr="00513645">
        <w:rPr>
          <w:rFonts w:ascii="Tahoma" w:hAnsi="Tahoma" w:cs="Tahoma"/>
        </w:rPr>
        <w:t>Сва насељена места су покривена водоводном мрежом у укупној дужини од око 101</w:t>
      </w:r>
      <w:r w:rsidR="00FA7B21">
        <w:rPr>
          <w:rFonts w:ascii="Tahoma" w:hAnsi="Tahoma" w:cs="Tahoma"/>
          <w:lang w:val="sr-Latn-RS"/>
        </w:rPr>
        <w:t>km</w:t>
      </w:r>
      <w:r w:rsidRPr="00513645">
        <w:rPr>
          <w:rFonts w:ascii="Tahoma" w:hAnsi="Tahoma" w:cs="Tahoma"/>
        </w:rPr>
        <w:t>, од чега је око 16</w:t>
      </w:r>
      <w:r w:rsidR="00FA7B21">
        <w:rPr>
          <w:rFonts w:ascii="Tahoma" w:hAnsi="Tahoma" w:cs="Tahoma"/>
          <w:lang w:val="sr-Latn-RS"/>
        </w:rPr>
        <w:t>km</w:t>
      </w:r>
      <w:r w:rsidRPr="00513645">
        <w:rPr>
          <w:rFonts w:ascii="Tahoma" w:hAnsi="Tahoma" w:cs="Tahoma"/>
        </w:rPr>
        <w:t xml:space="preserve"> под азбестно цементним цевима. Снабдевање свих насеља водом за пиће тренутно је задовољавајуће. Дистрибутивне уличне мреже су добро </w:t>
      </w:r>
      <w:r w:rsidRPr="00513645">
        <w:rPr>
          <w:rFonts w:ascii="Tahoma" w:hAnsi="Tahoma" w:cs="Tahoma"/>
        </w:rPr>
        <w:lastRenderedPageBreak/>
        <w:t>развијене, са капацитетима који могу да издрже притисак потенцијално нових корисника.</w:t>
      </w:r>
    </w:p>
    <w:p w14:paraId="2BB16F79" w14:textId="0DA82A71" w:rsidR="00397A73" w:rsidRDefault="00397A73" w:rsidP="0077329D">
      <w:pPr>
        <w:spacing w:after="160" w:line="259" w:lineRule="auto"/>
        <w:rPr>
          <w:rFonts w:ascii="Tahoma" w:hAnsi="Tahoma" w:cs="Tahoma"/>
        </w:rPr>
      </w:pPr>
      <w:r w:rsidRPr="00397A73">
        <w:rPr>
          <w:rFonts w:ascii="Tahoma" w:hAnsi="Tahoma" w:cs="Tahoma"/>
        </w:rPr>
        <w:t xml:space="preserve">У општини </w:t>
      </w:r>
      <w:proofErr w:type="spellStart"/>
      <w:r w:rsidRPr="00397A73">
        <w:rPr>
          <w:rFonts w:ascii="Tahoma" w:hAnsi="Tahoma" w:cs="Tahoma"/>
        </w:rPr>
        <w:t>Бач</w:t>
      </w:r>
      <w:proofErr w:type="spellEnd"/>
      <w:r w:rsidRPr="00397A73">
        <w:rPr>
          <w:rFonts w:ascii="Tahoma" w:hAnsi="Tahoma" w:cs="Tahoma"/>
        </w:rPr>
        <w:t xml:space="preserve"> је испоручено</w:t>
      </w:r>
      <w:r w:rsidR="00E35D7E">
        <w:rPr>
          <w:rFonts w:ascii="Tahoma" w:hAnsi="Tahoma" w:cs="Tahoma"/>
        </w:rPr>
        <w:t xml:space="preserve"> око</w:t>
      </w:r>
      <w:r w:rsidRPr="00397A73">
        <w:rPr>
          <w:rFonts w:ascii="Tahoma" w:hAnsi="Tahoma" w:cs="Tahoma"/>
        </w:rPr>
        <w:t xml:space="preserve"> 40</w:t>
      </w:r>
      <w:r>
        <w:rPr>
          <w:rFonts w:ascii="Tahoma" w:hAnsi="Tahoma" w:cs="Tahoma"/>
          <w:lang w:val="sr-Latn-RS"/>
        </w:rPr>
        <w:t>m</w:t>
      </w:r>
      <w:r w:rsidRPr="00397A73">
        <w:rPr>
          <w:rFonts w:ascii="Tahoma" w:hAnsi="Tahoma" w:cs="Tahoma"/>
          <w:vertAlign w:val="superscript"/>
          <w:lang w:val="sr-Latn-RS"/>
        </w:rPr>
        <w:t>3</w:t>
      </w:r>
      <w:r w:rsidRPr="00397A73">
        <w:rPr>
          <w:rFonts w:ascii="Tahoma" w:hAnsi="Tahoma" w:cs="Tahoma"/>
        </w:rPr>
        <w:t xml:space="preserve"> воде за пиће по глави становника</w:t>
      </w:r>
      <w:r>
        <w:rPr>
          <w:rStyle w:val="FootnoteReference"/>
          <w:rFonts w:ascii="Tahoma" w:hAnsi="Tahoma" w:cs="Tahoma"/>
        </w:rPr>
        <w:footnoteReference w:id="1"/>
      </w:r>
      <w:r w:rsidR="00E35D7E">
        <w:rPr>
          <w:rFonts w:ascii="Tahoma" w:hAnsi="Tahoma" w:cs="Tahoma"/>
        </w:rPr>
        <w:t xml:space="preserve"> у 2018. години</w:t>
      </w:r>
      <w:r w:rsidRPr="00397A73">
        <w:rPr>
          <w:rFonts w:ascii="Tahoma" w:hAnsi="Tahoma" w:cs="Tahoma"/>
        </w:rPr>
        <w:t>, а проценат домаћинстава прикључених на водоводну мрежу је износио готово 100%. Количина од 40</w:t>
      </w:r>
      <w:r w:rsidR="00082B80">
        <w:rPr>
          <w:rFonts w:ascii="Tahoma" w:hAnsi="Tahoma" w:cs="Tahoma"/>
          <w:lang w:val="sr-Latn-RS"/>
        </w:rPr>
        <w:t>m</w:t>
      </w:r>
      <w:r w:rsidRPr="00082B80">
        <w:rPr>
          <w:rFonts w:ascii="Tahoma" w:hAnsi="Tahoma" w:cs="Tahoma"/>
          <w:vertAlign w:val="superscript"/>
        </w:rPr>
        <w:t>3</w:t>
      </w:r>
      <w:r w:rsidRPr="00397A73">
        <w:rPr>
          <w:rFonts w:ascii="Tahoma" w:hAnsi="Tahoma" w:cs="Tahoma"/>
        </w:rPr>
        <w:t xml:space="preserve"> је друга најмања у </w:t>
      </w:r>
      <w:proofErr w:type="spellStart"/>
      <w:r w:rsidR="00082B80">
        <w:rPr>
          <w:rFonts w:ascii="Tahoma" w:hAnsi="Tahoma" w:cs="Tahoma"/>
        </w:rPr>
        <w:t>Ј</w:t>
      </w:r>
      <w:r w:rsidRPr="00397A73">
        <w:rPr>
          <w:rFonts w:ascii="Tahoma" w:hAnsi="Tahoma" w:cs="Tahoma"/>
        </w:rPr>
        <w:t>ужнобачкој</w:t>
      </w:r>
      <w:proofErr w:type="spellEnd"/>
      <w:r w:rsidRPr="00397A73">
        <w:rPr>
          <w:rFonts w:ascii="Tahoma" w:hAnsi="Tahoma" w:cs="Tahoma"/>
        </w:rPr>
        <w:t xml:space="preserve"> области. У анализи коју </w:t>
      </w:r>
      <w:r w:rsidR="00082B80">
        <w:rPr>
          <w:rFonts w:ascii="Tahoma" w:hAnsi="Tahoma" w:cs="Tahoma"/>
        </w:rPr>
        <w:t xml:space="preserve">је радио </w:t>
      </w:r>
      <w:r w:rsidRPr="00397A73">
        <w:rPr>
          <w:rFonts w:ascii="Tahoma" w:hAnsi="Tahoma" w:cs="Tahoma"/>
        </w:rPr>
        <w:t xml:space="preserve">Институт за јавно здравље наводи се да је анализа квалитета воде у водоводу у општини </w:t>
      </w:r>
      <w:proofErr w:type="spellStart"/>
      <w:r w:rsidRPr="00397A73">
        <w:rPr>
          <w:rFonts w:ascii="Tahoma" w:hAnsi="Tahoma" w:cs="Tahoma"/>
        </w:rPr>
        <w:t>Бач</w:t>
      </w:r>
      <w:proofErr w:type="spellEnd"/>
      <w:r w:rsidRPr="00397A73">
        <w:rPr>
          <w:rFonts w:ascii="Tahoma" w:hAnsi="Tahoma" w:cs="Tahoma"/>
        </w:rPr>
        <w:t xml:space="preserve"> у 2019. години показала физичко-хемијске неисправности у 100% узорака и микробиолошке неисправности у 72,7 % узорака.</w:t>
      </w:r>
      <w:r w:rsidR="00082B80" w:rsidRPr="00F47A45">
        <w:rPr>
          <w:rStyle w:val="FootnoteReference"/>
          <w:rFonts w:ascii="Tahoma" w:hAnsi="Tahoma" w:cs="Tahoma"/>
        </w:rPr>
        <w:footnoteReference w:id="2"/>
      </w:r>
    </w:p>
    <w:p w14:paraId="691A079B" w14:textId="77777777" w:rsidR="000060CD" w:rsidRPr="007E5FB1" w:rsidRDefault="000060CD" w:rsidP="00515665">
      <w:pPr>
        <w:spacing w:line="259" w:lineRule="auto"/>
        <w:rPr>
          <w:rFonts w:ascii="Tahoma" w:hAnsi="Tahoma" w:cs="Tahoma"/>
          <w:sz w:val="10"/>
          <w:szCs w:val="10"/>
          <w:lang w:val="en-US"/>
        </w:rPr>
      </w:pPr>
    </w:p>
    <w:p w14:paraId="6B944790" w14:textId="1DDFCC2E" w:rsidR="005B4416" w:rsidRPr="00F47A45" w:rsidRDefault="000060CD" w:rsidP="00FA7B21">
      <w:pPr>
        <w:spacing w:after="80" w:line="259" w:lineRule="auto"/>
        <w:jc w:val="left"/>
        <w:rPr>
          <w:rFonts w:ascii="Tahoma" w:hAnsi="Tahoma" w:cs="Tahoma"/>
        </w:rPr>
      </w:pPr>
      <w:r w:rsidRPr="00515665">
        <w:rPr>
          <w:rFonts w:ascii="Tahoma" w:hAnsi="Tahoma" w:cs="Tahoma"/>
          <w:color w:val="2F5496"/>
        </w:rPr>
        <w:t>Графикон 3</w:t>
      </w:r>
      <w:r w:rsidR="00E23AF8" w:rsidRPr="00515665">
        <w:rPr>
          <w:rFonts w:ascii="Tahoma" w:hAnsi="Tahoma" w:cs="Tahoma"/>
          <w:color w:val="2F5496"/>
        </w:rPr>
        <w:t>.</w:t>
      </w:r>
      <w:r w:rsidRPr="00515665">
        <w:rPr>
          <w:rFonts w:ascii="Tahoma" w:hAnsi="Tahoma" w:cs="Tahoma"/>
          <w:color w:val="2F5496"/>
        </w:rPr>
        <w:t xml:space="preserve"> Проценат прикључених домаћинстава на водоводну мрежу у </w:t>
      </w:r>
      <w:r w:rsidR="00FA7B21">
        <w:rPr>
          <w:rFonts w:ascii="Tahoma" w:hAnsi="Tahoma" w:cs="Tahoma"/>
          <w:color w:val="2F5496"/>
        </w:rPr>
        <w:t xml:space="preserve">општини </w:t>
      </w:r>
      <w:proofErr w:type="spellStart"/>
      <w:r w:rsidR="00FA7B21">
        <w:rPr>
          <w:rFonts w:ascii="Tahoma" w:hAnsi="Tahoma" w:cs="Tahoma"/>
          <w:color w:val="2F5496"/>
        </w:rPr>
        <w:t>Бач</w:t>
      </w:r>
      <w:proofErr w:type="spellEnd"/>
      <w:r w:rsidR="00AB2669">
        <w:rPr>
          <w:rFonts w:ascii="Tahoma" w:hAnsi="Tahoma" w:cs="Tahoma"/>
          <w:color w:val="2F5496"/>
        </w:rPr>
        <w:t>, за период 2011-2019.</w:t>
      </w:r>
      <w:r w:rsidRPr="00515665">
        <w:rPr>
          <w:rFonts w:ascii="Tahoma" w:hAnsi="Tahoma" w:cs="Tahoma"/>
          <w:color w:val="2F5496"/>
        </w:rPr>
        <w:t xml:space="preserve"> </w:t>
      </w:r>
    </w:p>
    <w:p w14:paraId="6DEC3E2C" w14:textId="70B4FA71" w:rsidR="00FA5325" w:rsidRDefault="00215F84" w:rsidP="00215F84">
      <w:pPr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69F8B291" wp14:editId="513F85D3">
            <wp:extent cx="4305300" cy="22479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FC275C8C-E512-4EC8-AD46-71C01774C8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B3E4FB9" w14:textId="28151FAB" w:rsidR="007E5FB1" w:rsidRPr="00F47A45" w:rsidRDefault="007E5FB1" w:rsidP="007E5FB1">
      <w:pPr>
        <w:spacing w:after="80" w:line="259" w:lineRule="auto"/>
        <w:jc w:val="left"/>
        <w:rPr>
          <w:rFonts w:ascii="Tahoma" w:hAnsi="Tahoma" w:cs="Tahoma"/>
        </w:rPr>
      </w:pPr>
      <w:r w:rsidRPr="00AF3C50">
        <w:rPr>
          <w:rFonts w:ascii="Tahoma" w:hAnsi="Tahoma" w:cs="Tahoma"/>
          <w:sz w:val="18"/>
          <w:szCs w:val="18"/>
        </w:rPr>
        <w:t xml:space="preserve">Извор: Републички завод за статистику, </w:t>
      </w:r>
      <w:proofErr w:type="spellStart"/>
      <w:r w:rsidRPr="00AF3C50">
        <w:rPr>
          <w:rFonts w:ascii="Tahoma" w:hAnsi="Tahoma" w:cs="Tahoma"/>
          <w:sz w:val="18"/>
          <w:szCs w:val="18"/>
        </w:rPr>
        <w:t>ДевИнфо</w:t>
      </w:r>
      <w:proofErr w:type="spellEnd"/>
      <w:r w:rsidRPr="00AF3C50">
        <w:rPr>
          <w:rFonts w:ascii="Tahoma" w:hAnsi="Tahoma" w:cs="Tahoma"/>
          <w:sz w:val="18"/>
          <w:szCs w:val="18"/>
        </w:rPr>
        <w:t xml:space="preserve"> база</w:t>
      </w:r>
      <w:r>
        <w:rPr>
          <w:rFonts w:ascii="Tahoma" w:hAnsi="Tahoma" w:cs="Tahoma"/>
          <w:sz w:val="18"/>
          <w:szCs w:val="18"/>
        </w:rPr>
        <w:t>.</w:t>
      </w:r>
    </w:p>
    <w:p w14:paraId="1D741D94" w14:textId="5DE4F6B3" w:rsidR="00392CAE" w:rsidRPr="007E5FB1" w:rsidRDefault="00392CAE" w:rsidP="007E5FB1">
      <w:pPr>
        <w:spacing w:line="259" w:lineRule="auto"/>
        <w:rPr>
          <w:rFonts w:ascii="Tahoma" w:hAnsi="Tahoma" w:cs="Tahoma"/>
          <w:sz w:val="10"/>
          <w:szCs w:val="10"/>
        </w:rPr>
      </w:pPr>
    </w:p>
    <w:p w14:paraId="0899DF24" w14:textId="5F0B69D8" w:rsidR="0066512D" w:rsidRDefault="000060CD" w:rsidP="007E5FB1">
      <w:pPr>
        <w:spacing w:after="80" w:line="259" w:lineRule="auto"/>
        <w:jc w:val="left"/>
        <w:rPr>
          <w:rFonts w:ascii="Tahoma" w:hAnsi="Tahoma" w:cs="Tahoma"/>
          <w:noProof/>
          <w:lang w:val="en-GB" w:eastAsia="en-GB"/>
        </w:rPr>
      </w:pPr>
      <w:r w:rsidRPr="00515665">
        <w:rPr>
          <w:rFonts w:ascii="Tahoma" w:hAnsi="Tahoma" w:cs="Tahoma"/>
          <w:color w:val="2F5496"/>
        </w:rPr>
        <w:t>Графикон 4</w:t>
      </w:r>
      <w:r w:rsidR="00E23AF8" w:rsidRPr="00515665">
        <w:rPr>
          <w:rFonts w:ascii="Tahoma" w:hAnsi="Tahoma" w:cs="Tahoma"/>
          <w:color w:val="2F5496"/>
        </w:rPr>
        <w:t>.</w:t>
      </w:r>
      <w:r w:rsidRPr="00515665">
        <w:rPr>
          <w:rFonts w:ascii="Tahoma" w:hAnsi="Tahoma" w:cs="Tahoma"/>
          <w:color w:val="2F5496"/>
        </w:rPr>
        <w:t xml:space="preserve"> Проценат прикључених домаћинстава на водоводну мрежу у панелу локалних самоуправа</w:t>
      </w:r>
      <w:r w:rsidR="00641C1E">
        <w:rPr>
          <w:rFonts w:ascii="Tahoma" w:hAnsi="Tahoma" w:cs="Tahoma"/>
          <w:color w:val="2F5496"/>
        </w:rPr>
        <w:t>, у 2019.</w:t>
      </w:r>
    </w:p>
    <w:p w14:paraId="6C862D73" w14:textId="27FFC282" w:rsidR="007E5FB1" w:rsidRPr="00F47A45" w:rsidRDefault="006F0060" w:rsidP="007E5FB1">
      <w:pPr>
        <w:spacing w:after="80" w:line="259" w:lineRule="auto"/>
        <w:jc w:val="left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19D5AC00" wp14:editId="388C0A27">
            <wp:extent cx="5695950" cy="2676525"/>
            <wp:effectExtent l="0" t="0" r="0" b="0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0E196BBD-A9FD-974C-9917-DCA6E5D18D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37E8AEE" w14:textId="132E8C66" w:rsidR="000060CD" w:rsidRPr="007E5FB1" w:rsidRDefault="007E5FB1" w:rsidP="007E5FB1">
      <w:pPr>
        <w:spacing w:after="80" w:line="259" w:lineRule="auto"/>
        <w:jc w:val="left"/>
        <w:rPr>
          <w:rFonts w:ascii="Tahoma" w:hAnsi="Tahoma" w:cs="Tahoma"/>
        </w:rPr>
      </w:pPr>
      <w:r w:rsidRPr="00AF3C50">
        <w:rPr>
          <w:rFonts w:ascii="Tahoma" w:hAnsi="Tahoma" w:cs="Tahoma"/>
          <w:sz w:val="18"/>
          <w:szCs w:val="18"/>
        </w:rPr>
        <w:t xml:space="preserve">Извор: Републички завод за статистику, </w:t>
      </w:r>
      <w:proofErr w:type="spellStart"/>
      <w:r w:rsidRPr="00AF3C50">
        <w:rPr>
          <w:rFonts w:ascii="Tahoma" w:hAnsi="Tahoma" w:cs="Tahoma"/>
          <w:sz w:val="18"/>
          <w:szCs w:val="18"/>
        </w:rPr>
        <w:t>ДевИнфо</w:t>
      </w:r>
      <w:proofErr w:type="spellEnd"/>
      <w:r w:rsidRPr="00AF3C50">
        <w:rPr>
          <w:rFonts w:ascii="Tahoma" w:hAnsi="Tahoma" w:cs="Tahoma"/>
          <w:sz w:val="18"/>
          <w:szCs w:val="18"/>
        </w:rPr>
        <w:t xml:space="preserve"> база</w:t>
      </w:r>
      <w:r>
        <w:rPr>
          <w:rFonts w:ascii="Tahoma" w:hAnsi="Tahoma" w:cs="Tahoma"/>
          <w:sz w:val="18"/>
          <w:szCs w:val="18"/>
        </w:rPr>
        <w:t>.</w:t>
      </w:r>
      <w:r w:rsidR="009C73DD" w:rsidRPr="009C73DD">
        <w:rPr>
          <w:rFonts w:ascii="Tahoma" w:hAnsi="Tahoma" w:cs="Tahoma"/>
          <w:sz w:val="18"/>
          <w:szCs w:val="18"/>
        </w:rPr>
        <w:t xml:space="preserve"> </w:t>
      </w:r>
    </w:p>
    <w:p w14:paraId="63549E39" w14:textId="77777777" w:rsidR="009C73DD" w:rsidRPr="00B90426" w:rsidRDefault="009C73DD" w:rsidP="009C73DD">
      <w:pPr>
        <w:spacing w:line="259" w:lineRule="auto"/>
        <w:rPr>
          <w:rFonts w:ascii="Tahoma" w:hAnsi="Tahoma" w:cs="Tahoma"/>
          <w:sz w:val="10"/>
          <w:szCs w:val="10"/>
        </w:rPr>
      </w:pPr>
    </w:p>
    <w:p w14:paraId="050012D2" w14:textId="710BF396" w:rsidR="0019224F" w:rsidRPr="00F47A45" w:rsidRDefault="0019224F" w:rsidP="00E10BC1">
      <w:pPr>
        <w:spacing w:after="160" w:line="259" w:lineRule="auto"/>
        <w:rPr>
          <w:rFonts w:ascii="Tahoma" w:hAnsi="Tahoma" w:cs="Tahoma"/>
        </w:rPr>
      </w:pPr>
      <w:r w:rsidRPr="0019224F">
        <w:rPr>
          <w:rFonts w:ascii="Tahoma" w:hAnsi="Tahoma" w:cs="Tahoma"/>
        </w:rPr>
        <w:t xml:space="preserve">За функцију 630 се издваја износ буџетских средстава који се у анализираном периоду кретао испод 4%. У Одлуци о буџету за 2021. годину </w:t>
      </w:r>
      <w:r>
        <w:rPr>
          <w:rFonts w:ascii="Tahoma" w:hAnsi="Tahoma" w:cs="Tahoma"/>
        </w:rPr>
        <w:t>нису издвојена</w:t>
      </w:r>
      <w:r w:rsidRPr="0019224F">
        <w:rPr>
          <w:rFonts w:ascii="Tahoma" w:hAnsi="Tahoma" w:cs="Tahoma"/>
        </w:rPr>
        <w:t xml:space="preserve"> средства која су опредељена за ову функцију.</w:t>
      </w:r>
      <w:r>
        <w:rPr>
          <w:rFonts w:ascii="Tahoma" w:hAnsi="Tahoma" w:cs="Tahoma"/>
        </w:rPr>
        <w:t xml:space="preserve"> </w:t>
      </w:r>
    </w:p>
    <w:p w14:paraId="258CC9ED" w14:textId="6185519B" w:rsidR="00392CAE" w:rsidRPr="00B90426" w:rsidRDefault="00392CAE" w:rsidP="009C73DD">
      <w:pPr>
        <w:spacing w:line="259" w:lineRule="auto"/>
        <w:rPr>
          <w:rFonts w:ascii="Tahoma" w:hAnsi="Tahoma" w:cs="Tahoma"/>
          <w:sz w:val="10"/>
          <w:szCs w:val="10"/>
          <w:lang w:val="en-US"/>
        </w:rPr>
      </w:pPr>
    </w:p>
    <w:p w14:paraId="5298965A" w14:textId="7ADEC73F" w:rsidR="0010182B" w:rsidRPr="00515665" w:rsidRDefault="000060CD" w:rsidP="009C73DD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515665">
        <w:rPr>
          <w:rFonts w:ascii="Tahoma" w:hAnsi="Tahoma" w:cs="Tahoma"/>
          <w:color w:val="2F5496"/>
        </w:rPr>
        <w:t>Графикон 5</w:t>
      </w:r>
      <w:r w:rsidR="00E23AF8" w:rsidRPr="00515665">
        <w:rPr>
          <w:rFonts w:ascii="Tahoma" w:hAnsi="Tahoma" w:cs="Tahoma"/>
          <w:color w:val="2F5496"/>
        </w:rPr>
        <w:t>.</w:t>
      </w:r>
      <w:r w:rsidRPr="00515665">
        <w:rPr>
          <w:rFonts w:ascii="Tahoma" w:hAnsi="Tahoma" w:cs="Tahoma"/>
          <w:color w:val="2F5496"/>
        </w:rPr>
        <w:t xml:space="preserve"> </w:t>
      </w:r>
      <w:r w:rsidR="00422724">
        <w:rPr>
          <w:rFonts w:ascii="Tahoma" w:hAnsi="Tahoma" w:cs="Tahoma"/>
          <w:color w:val="2F5496"/>
        </w:rPr>
        <w:t>Расходи</w:t>
      </w:r>
      <w:r w:rsidRPr="00515665">
        <w:rPr>
          <w:rFonts w:ascii="Tahoma" w:hAnsi="Tahoma" w:cs="Tahoma"/>
          <w:color w:val="2F5496"/>
        </w:rPr>
        <w:t xml:space="preserve"> буџета</w:t>
      </w:r>
      <w:r w:rsidR="00422724">
        <w:rPr>
          <w:rFonts w:ascii="Tahoma" w:hAnsi="Tahoma" w:cs="Tahoma"/>
          <w:color w:val="2F5496"/>
        </w:rPr>
        <w:t xml:space="preserve"> за водоснабдевање (% укупних расхода буџета), за период 2015-2020.</w:t>
      </w:r>
    </w:p>
    <w:p w14:paraId="5A817639" w14:textId="43265F78" w:rsidR="0066512D" w:rsidRPr="00F47A45" w:rsidRDefault="00DE17F8" w:rsidP="00DE17F8">
      <w:pPr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3229628D" wp14:editId="5A8FBBDB">
            <wp:extent cx="4295775" cy="2238375"/>
            <wp:effectExtent l="0" t="0" r="9525" b="9525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2BC3DCA5-95C1-49FC-91C3-3B1EC43946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BE30FDE" w14:textId="7AF79C1B" w:rsidR="00E32401" w:rsidRPr="009C73DD" w:rsidRDefault="009C73DD" w:rsidP="009C73DD">
      <w:pPr>
        <w:spacing w:after="80" w:line="259" w:lineRule="auto"/>
        <w:rPr>
          <w:rFonts w:ascii="Tahoma" w:hAnsi="Tahoma" w:cs="Tahoma"/>
          <w:sz w:val="18"/>
          <w:szCs w:val="18"/>
        </w:rPr>
      </w:pPr>
      <w:r w:rsidRPr="009C73DD">
        <w:rPr>
          <w:rFonts w:ascii="Tahoma" w:hAnsi="Tahoma" w:cs="Tahoma"/>
          <w:sz w:val="18"/>
          <w:szCs w:val="18"/>
        </w:rPr>
        <w:t xml:space="preserve">Извор: </w:t>
      </w:r>
      <w:r w:rsidR="00B13D65">
        <w:rPr>
          <w:rFonts w:ascii="Tahoma" w:hAnsi="Tahoma" w:cs="Tahoma"/>
          <w:sz w:val="18"/>
          <w:szCs w:val="18"/>
        </w:rPr>
        <w:t xml:space="preserve">Општина </w:t>
      </w:r>
      <w:proofErr w:type="spellStart"/>
      <w:r w:rsidR="007725AB">
        <w:rPr>
          <w:rFonts w:ascii="Tahoma" w:hAnsi="Tahoma" w:cs="Tahoma"/>
          <w:sz w:val="18"/>
          <w:szCs w:val="18"/>
        </w:rPr>
        <w:t>Бач</w:t>
      </w:r>
      <w:proofErr w:type="spellEnd"/>
      <w:r w:rsidR="00300E81">
        <w:rPr>
          <w:rFonts w:ascii="Tahoma" w:hAnsi="Tahoma" w:cs="Tahoma"/>
          <w:sz w:val="18"/>
          <w:szCs w:val="18"/>
        </w:rPr>
        <w:t>.</w:t>
      </w:r>
    </w:p>
    <w:p w14:paraId="2A32E789" w14:textId="77777777" w:rsidR="009C73DD" w:rsidRPr="009C73DD" w:rsidRDefault="009C73DD" w:rsidP="009C73DD">
      <w:pPr>
        <w:spacing w:line="259" w:lineRule="auto"/>
        <w:rPr>
          <w:rFonts w:ascii="Tahoma" w:hAnsi="Tahoma" w:cs="Tahoma"/>
          <w:sz w:val="10"/>
          <w:szCs w:val="10"/>
        </w:rPr>
      </w:pPr>
    </w:p>
    <w:p w14:paraId="75909E53" w14:textId="4DD197A5" w:rsidR="00045141" w:rsidRPr="00C84FB5" w:rsidRDefault="00100D5E" w:rsidP="00C84FB5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r w:rsidRPr="00A748B5">
        <w:rPr>
          <w:rFonts w:ascii="Tahoma" w:hAnsi="Tahoma" w:cs="Tahoma"/>
          <w:b/>
          <w:bCs/>
          <w:sz w:val="28"/>
          <w:szCs w:val="28"/>
        </w:rPr>
        <w:t>Путна инфраструктура</w:t>
      </w:r>
    </w:p>
    <w:p w14:paraId="60E57E87" w14:textId="787DA030" w:rsidR="0097788A" w:rsidRPr="00F47A45" w:rsidRDefault="0097788A" w:rsidP="00E10BC1">
      <w:pPr>
        <w:spacing w:after="160" w:line="259" w:lineRule="auto"/>
        <w:rPr>
          <w:rFonts w:ascii="Tahoma" w:hAnsi="Tahoma" w:cs="Tahoma"/>
        </w:rPr>
      </w:pPr>
      <w:r w:rsidRPr="0097788A">
        <w:rPr>
          <w:rFonts w:ascii="Tahoma" w:hAnsi="Tahoma" w:cs="Tahoma"/>
        </w:rPr>
        <w:t xml:space="preserve">Према претходном развојном планском документу општине </w:t>
      </w:r>
      <w:proofErr w:type="spellStart"/>
      <w:r w:rsidRPr="0097788A">
        <w:rPr>
          <w:rFonts w:ascii="Tahoma" w:hAnsi="Tahoma" w:cs="Tahoma"/>
        </w:rPr>
        <w:t>Бач</w:t>
      </w:r>
      <w:proofErr w:type="spellEnd"/>
      <w:r w:rsidRPr="0097788A">
        <w:rPr>
          <w:rFonts w:ascii="Tahoma" w:hAnsi="Tahoma" w:cs="Tahoma"/>
        </w:rPr>
        <w:t xml:space="preserve"> будући концепт </w:t>
      </w:r>
      <w:r w:rsidRPr="00DA6B3B">
        <w:rPr>
          <w:rFonts w:ascii="Tahoma" w:hAnsi="Tahoma" w:cs="Tahoma"/>
          <w:b/>
          <w:bCs/>
          <w:color w:val="2F5496"/>
        </w:rPr>
        <w:t>друмског саобраћаја</w:t>
      </w:r>
      <w:r w:rsidRPr="00DA6B3B">
        <w:rPr>
          <w:rFonts w:ascii="Tahoma" w:hAnsi="Tahoma" w:cs="Tahoma"/>
          <w:color w:val="2F5496"/>
        </w:rPr>
        <w:t xml:space="preserve"> </w:t>
      </w:r>
      <w:r w:rsidRPr="0097788A">
        <w:rPr>
          <w:rFonts w:ascii="Tahoma" w:hAnsi="Tahoma" w:cs="Tahoma"/>
        </w:rPr>
        <w:t xml:space="preserve">на простору општине је замишљен као систем саобраћајних капацитета различитог хијерархијског нивоа који ће омогућити задовољење свих потенцијалних захтева, високог комфора, доступности и високог нивоа </w:t>
      </w:r>
      <w:proofErr w:type="spellStart"/>
      <w:r w:rsidRPr="0097788A">
        <w:rPr>
          <w:rFonts w:ascii="Tahoma" w:hAnsi="Tahoma" w:cs="Tahoma"/>
        </w:rPr>
        <w:t>интернасељског</w:t>
      </w:r>
      <w:proofErr w:type="spellEnd"/>
      <w:r w:rsidRPr="0097788A">
        <w:rPr>
          <w:rFonts w:ascii="Tahoma" w:hAnsi="Tahoma" w:cs="Tahoma"/>
        </w:rPr>
        <w:t xml:space="preserve"> повезивања уз омогућавање оптималног опслуживања атара </w:t>
      </w:r>
      <w:proofErr w:type="spellStart"/>
      <w:r w:rsidRPr="0097788A">
        <w:rPr>
          <w:rFonts w:ascii="Tahoma" w:hAnsi="Tahoma" w:cs="Tahoma"/>
        </w:rPr>
        <w:t>сировинског</w:t>
      </w:r>
      <w:proofErr w:type="spellEnd"/>
      <w:r w:rsidRPr="0097788A">
        <w:rPr>
          <w:rFonts w:ascii="Tahoma" w:hAnsi="Tahoma" w:cs="Tahoma"/>
        </w:rPr>
        <w:t xml:space="preserve"> залеђа, као значајног извора привредних активности у Бачу. </w:t>
      </w:r>
      <w:proofErr w:type="spellStart"/>
      <w:r w:rsidRPr="0097788A">
        <w:rPr>
          <w:rFonts w:ascii="Tahoma" w:hAnsi="Tahoma" w:cs="Tahoma"/>
        </w:rPr>
        <w:t>Kонцепт</w:t>
      </w:r>
      <w:proofErr w:type="spellEnd"/>
      <w:r w:rsidRPr="0097788A">
        <w:rPr>
          <w:rFonts w:ascii="Tahoma" w:hAnsi="Tahoma" w:cs="Tahoma"/>
        </w:rPr>
        <w:t xml:space="preserve"> развоја саобраћајне друмске инфраструктуре на простору општине </w:t>
      </w:r>
      <w:proofErr w:type="spellStart"/>
      <w:r w:rsidRPr="0097788A">
        <w:rPr>
          <w:rFonts w:ascii="Tahoma" w:hAnsi="Tahoma" w:cs="Tahoma"/>
        </w:rPr>
        <w:t>Бач</w:t>
      </w:r>
      <w:proofErr w:type="spellEnd"/>
      <w:r w:rsidRPr="0097788A">
        <w:rPr>
          <w:rFonts w:ascii="Tahoma" w:hAnsi="Tahoma" w:cs="Tahoma"/>
        </w:rPr>
        <w:t xml:space="preserve"> предвиђа активности на путном правцу државног пута </w:t>
      </w:r>
      <w:proofErr w:type="spellStart"/>
      <w:r w:rsidRPr="0097788A">
        <w:rPr>
          <w:rFonts w:ascii="Tahoma" w:hAnsi="Tahoma" w:cs="Tahoma"/>
        </w:rPr>
        <w:t>Ia</w:t>
      </w:r>
      <w:proofErr w:type="spellEnd"/>
      <w:r w:rsidRPr="0097788A">
        <w:rPr>
          <w:rFonts w:ascii="Tahoma" w:hAnsi="Tahoma" w:cs="Tahoma"/>
        </w:rPr>
        <w:t xml:space="preserve"> реда број 12, као и активности на изградњи </w:t>
      </w:r>
      <w:r>
        <w:rPr>
          <w:rFonts w:ascii="Tahoma" w:hAnsi="Tahoma" w:cs="Tahoma"/>
        </w:rPr>
        <w:t xml:space="preserve">и </w:t>
      </w:r>
      <w:r w:rsidRPr="0097788A">
        <w:rPr>
          <w:rFonts w:ascii="Tahoma" w:hAnsi="Tahoma" w:cs="Tahoma"/>
        </w:rPr>
        <w:t xml:space="preserve">реконструкцији појединих делова постојеће регионалне мреже. </w:t>
      </w:r>
      <w:proofErr w:type="spellStart"/>
      <w:r w:rsidRPr="0097788A">
        <w:rPr>
          <w:rFonts w:ascii="Tahoma" w:hAnsi="Tahoma" w:cs="Tahoma"/>
        </w:rPr>
        <w:t>Операционализација</w:t>
      </w:r>
      <w:proofErr w:type="spellEnd"/>
      <w:r w:rsidRPr="0097788A">
        <w:rPr>
          <w:rFonts w:ascii="Tahoma" w:hAnsi="Tahoma" w:cs="Tahoma"/>
        </w:rPr>
        <w:t xml:space="preserve"> концепцијских опредељења подразумева активности на установљењу нове трасе основног путног правца државног пута број 112 </w:t>
      </w:r>
      <w:proofErr w:type="spellStart"/>
      <w:r w:rsidRPr="0097788A">
        <w:rPr>
          <w:rFonts w:ascii="Tahoma" w:hAnsi="Tahoma" w:cs="Tahoma"/>
        </w:rPr>
        <w:t>IIa</w:t>
      </w:r>
      <w:proofErr w:type="spellEnd"/>
      <w:r w:rsidRPr="0097788A">
        <w:rPr>
          <w:rFonts w:ascii="Tahoma" w:hAnsi="Tahoma" w:cs="Tahoma"/>
        </w:rPr>
        <w:t xml:space="preserve"> реда.</w:t>
      </w:r>
    </w:p>
    <w:p w14:paraId="7E527AB6" w14:textId="4A392533" w:rsidR="00100D5E" w:rsidRPr="00F47A45" w:rsidRDefault="00100D5E" w:rsidP="00E10BC1">
      <w:pPr>
        <w:spacing w:after="160" w:line="259" w:lineRule="auto"/>
        <w:rPr>
          <w:rFonts w:ascii="Tahoma" w:hAnsi="Tahoma" w:cs="Tahoma"/>
        </w:rPr>
      </w:pPr>
      <w:r w:rsidRPr="00F47A45">
        <w:rPr>
          <w:rFonts w:ascii="Tahoma" w:hAnsi="Tahoma" w:cs="Tahoma"/>
        </w:rPr>
        <w:t xml:space="preserve">Укупна дужина путева у општини </w:t>
      </w:r>
      <w:proofErr w:type="spellStart"/>
      <w:r w:rsidR="00DA6B3B">
        <w:rPr>
          <w:rFonts w:ascii="Tahoma" w:hAnsi="Tahoma" w:cs="Tahoma"/>
        </w:rPr>
        <w:t>Б</w:t>
      </w:r>
      <w:r w:rsidR="00120E72">
        <w:rPr>
          <w:rFonts w:ascii="Tahoma" w:hAnsi="Tahoma" w:cs="Tahoma"/>
        </w:rPr>
        <w:t>ач</w:t>
      </w:r>
      <w:proofErr w:type="spellEnd"/>
      <w:r w:rsidR="00120E72">
        <w:rPr>
          <w:rFonts w:ascii="Tahoma" w:hAnsi="Tahoma" w:cs="Tahoma"/>
        </w:rPr>
        <w:t xml:space="preserve"> </w:t>
      </w:r>
      <w:r w:rsidRPr="00F47A45">
        <w:rPr>
          <w:rFonts w:ascii="Tahoma" w:hAnsi="Tahoma" w:cs="Tahoma"/>
        </w:rPr>
        <w:t xml:space="preserve">износила је </w:t>
      </w:r>
      <w:r w:rsidR="00DA6B3B">
        <w:rPr>
          <w:rFonts w:ascii="Tahoma" w:hAnsi="Tahoma" w:cs="Tahoma"/>
        </w:rPr>
        <w:t>92</w:t>
      </w:r>
      <w:r w:rsidR="00AA6016" w:rsidRPr="00F47A45">
        <w:rPr>
          <w:rFonts w:ascii="Tahoma" w:hAnsi="Tahoma" w:cs="Tahoma"/>
          <w:lang w:val="sr-Latn-RS"/>
        </w:rPr>
        <w:t>km</w:t>
      </w:r>
      <w:r w:rsidRPr="00F47A45">
        <w:rPr>
          <w:rFonts w:ascii="Tahoma" w:hAnsi="Tahoma" w:cs="Tahoma"/>
        </w:rPr>
        <w:t xml:space="preserve"> у 2019. години</w:t>
      </w:r>
      <w:r w:rsidR="00E10BC1">
        <w:rPr>
          <w:rFonts w:ascii="Tahoma" w:hAnsi="Tahoma" w:cs="Tahoma"/>
        </w:rPr>
        <w:t>,</w:t>
      </w:r>
      <w:r w:rsidRPr="00F47A45">
        <w:rPr>
          <w:rFonts w:ascii="Tahoma" w:hAnsi="Tahoma" w:cs="Tahoma"/>
        </w:rPr>
        <w:t xml:space="preserve"> а густина путева је износила </w:t>
      </w:r>
      <w:r w:rsidR="00DA6B3B">
        <w:rPr>
          <w:rFonts w:ascii="Tahoma" w:hAnsi="Tahoma" w:cs="Tahoma"/>
        </w:rPr>
        <w:t>0,3</w:t>
      </w:r>
      <w:r w:rsidRPr="00F47A45">
        <w:rPr>
          <w:rFonts w:ascii="Tahoma" w:hAnsi="Tahoma" w:cs="Tahoma"/>
        </w:rPr>
        <w:t xml:space="preserve"> </w:t>
      </w:r>
      <w:proofErr w:type="spellStart"/>
      <w:r w:rsidRPr="00F47A45">
        <w:rPr>
          <w:rFonts w:ascii="Tahoma" w:hAnsi="Tahoma" w:cs="Tahoma"/>
        </w:rPr>
        <w:t>km</w:t>
      </w:r>
      <w:proofErr w:type="spellEnd"/>
      <w:r w:rsidRPr="00F47A45">
        <w:rPr>
          <w:rFonts w:ascii="Tahoma" w:hAnsi="Tahoma" w:cs="Tahoma"/>
        </w:rPr>
        <w:t>/km</w:t>
      </w:r>
      <w:r w:rsidRPr="00F47A45">
        <w:rPr>
          <w:rFonts w:ascii="Tahoma" w:hAnsi="Tahoma" w:cs="Tahoma"/>
          <w:vertAlign w:val="superscript"/>
        </w:rPr>
        <w:t>2</w:t>
      </w:r>
      <w:r w:rsidRPr="00F47A45">
        <w:rPr>
          <w:rFonts w:ascii="Tahoma" w:hAnsi="Tahoma" w:cs="Tahoma"/>
        </w:rPr>
        <w:t xml:space="preserve">. </w:t>
      </w:r>
    </w:p>
    <w:p w14:paraId="06A8EA0F" w14:textId="58420AC6" w:rsidR="00211835" w:rsidRPr="00E10BC1" w:rsidRDefault="00211835" w:rsidP="00E10BC1">
      <w:pPr>
        <w:spacing w:line="259" w:lineRule="auto"/>
        <w:rPr>
          <w:rFonts w:ascii="Tahoma" w:hAnsi="Tahoma" w:cs="Tahoma"/>
          <w:sz w:val="10"/>
          <w:szCs w:val="10"/>
        </w:rPr>
      </w:pPr>
    </w:p>
    <w:p w14:paraId="685803C5" w14:textId="32306512" w:rsidR="004E529F" w:rsidRPr="00D72D08" w:rsidRDefault="00211835" w:rsidP="00D72D08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9C73DD">
        <w:rPr>
          <w:rFonts w:ascii="Tahoma" w:hAnsi="Tahoma" w:cs="Tahoma"/>
          <w:color w:val="2F5496"/>
        </w:rPr>
        <w:t xml:space="preserve">Табела </w:t>
      </w:r>
      <w:r w:rsidRPr="009C73DD">
        <w:rPr>
          <w:rFonts w:ascii="Tahoma" w:hAnsi="Tahoma" w:cs="Tahoma"/>
          <w:color w:val="2F5496"/>
        </w:rPr>
        <w:fldChar w:fldCharType="begin"/>
      </w:r>
      <w:r w:rsidRPr="009C73DD">
        <w:rPr>
          <w:rFonts w:ascii="Tahoma" w:hAnsi="Tahoma" w:cs="Tahoma"/>
          <w:color w:val="2F5496"/>
        </w:rPr>
        <w:instrText xml:space="preserve"> SEQ Табела \* ARABIC </w:instrText>
      </w:r>
      <w:r w:rsidRPr="009C73DD">
        <w:rPr>
          <w:rFonts w:ascii="Tahoma" w:hAnsi="Tahoma" w:cs="Tahoma"/>
          <w:color w:val="2F5496"/>
        </w:rPr>
        <w:fldChar w:fldCharType="separate"/>
      </w:r>
      <w:r w:rsidRPr="009C73DD">
        <w:rPr>
          <w:rFonts w:ascii="Tahoma" w:hAnsi="Tahoma" w:cs="Tahoma"/>
          <w:color w:val="2F5496"/>
        </w:rPr>
        <w:t>2</w:t>
      </w:r>
      <w:r w:rsidRPr="009C73DD">
        <w:rPr>
          <w:rFonts w:ascii="Tahoma" w:hAnsi="Tahoma" w:cs="Tahoma"/>
          <w:color w:val="2F5496"/>
        </w:rPr>
        <w:fldChar w:fldCharType="end"/>
      </w:r>
      <w:r w:rsidR="00E23AF8" w:rsidRPr="009C73DD">
        <w:rPr>
          <w:rFonts w:ascii="Tahoma" w:hAnsi="Tahoma" w:cs="Tahoma"/>
          <w:color w:val="2F5496"/>
        </w:rPr>
        <w:t>.</w:t>
      </w:r>
      <w:r w:rsidRPr="009C73DD">
        <w:rPr>
          <w:rFonts w:ascii="Tahoma" w:hAnsi="Tahoma" w:cs="Tahoma"/>
          <w:color w:val="2F5496"/>
        </w:rPr>
        <w:t xml:space="preserve"> Дужина путева у </w:t>
      </w:r>
      <w:r w:rsidR="00AA6016" w:rsidRPr="009C73DD">
        <w:rPr>
          <w:rFonts w:ascii="Tahoma" w:hAnsi="Tahoma" w:cs="Tahoma"/>
          <w:color w:val="2F5496"/>
          <w:lang w:val="sr-Latn-RS"/>
        </w:rPr>
        <w:t>km</w:t>
      </w:r>
      <w:r w:rsidRPr="009C73DD">
        <w:rPr>
          <w:rFonts w:ascii="Tahoma" w:hAnsi="Tahoma" w:cs="Tahoma"/>
          <w:color w:val="2F5496"/>
        </w:rPr>
        <w:t xml:space="preserve"> у општини </w:t>
      </w:r>
      <w:proofErr w:type="spellStart"/>
      <w:r w:rsidR="00A06793">
        <w:rPr>
          <w:rFonts w:ascii="Tahoma" w:hAnsi="Tahoma" w:cs="Tahoma"/>
          <w:color w:val="2F5496"/>
        </w:rPr>
        <w:t>Бач</w:t>
      </w:r>
      <w:proofErr w:type="spellEnd"/>
      <w:r w:rsidR="009C73DD">
        <w:rPr>
          <w:rFonts w:ascii="Tahoma" w:hAnsi="Tahoma" w:cs="Tahoma"/>
          <w:color w:val="2F5496"/>
        </w:rPr>
        <w:t>,</w:t>
      </w:r>
      <w:r w:rsidRPr="009C73DD">
        <w:rPr>
          <w:rFonts w:ascii="Tahoma" w:hAnsi="Tahoma" w:cs="Tahoma"/>
          <w:color w:val="2F5496"/>
        </w:rPr>
        <w:t xml:space="preserve"> </w:t>
      </w:r>
      <w:r w:rsidR="009C73DD">
        <w:rPr>
          <w:rFonts w:ascii="Tahoma" w:hAnsi="Tahoma" w:cs="Tahoma"/>
          <w:color w:val="2F5496"/>
        </w:rPr>
        <w:t xml:space="preserve">за </w:t>
      </w:r>
      <w:r w:rsidRPr="009C73DD">
        <w:rPr>
          <w:rFonts w:ascii="Tahoma" w:hAnsi="Tahoma" w:cs="Tahoma"/>
          <w:color w:val="2F5496"/>
        </w:rPr>
        <w:t xml:space="preserve">2019. </w:t>
      </w:r>
    </w:p>
    <w:tbl>
      <w:tblPr>
        <w:tblStyle w:val="GridTable5Dark-Accent51"/>
        <w:tblW w:w="6516" w:type="dxa"/>
        <w:tblLook w:val="04A0" w:firstRow="1" w:lastRow="0" w:firstColumn="1" w:lastColumn="0" w:noHBand="0" w:noVBand="1"/>
      </w:tblPr>
      <w:tblGrid>
        <w:gridCol w:w="3964"/>
        <w:gridCol w:w="2552"/>
      </w:tblGrid>
      <w:tr w:rsidR="004E529F" w:rsidRPr="000B6DBE" w14:paraId="1E28D35D" w14:textId="77777777" w:rsidTr="008E29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2F5496" w:themeFill="accent1" w:themeFillShade="BF"/>
          </w:tcPr>
          <w:p w14:paraId="0F02E60C" w14:textId="77777777" w:rsidR="004E529F" w:rsidRPr="00AF5513" w:rsidRDefault="004E529F" w:rsidP="00D23BD1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shd w:val="clear" w:color="auto" w:fill="2F5496" w:themeFill="accent1" w:themeFillShade="BF"/>
          </w:tcPr>
          <w:p w14:paraId="7D401314" w14:textId="6C21208B" w:rsidR="004E529F" w:rsidRPr="00AF5513" w:rsidRDefault="004E529F" w:rsidP="00D23B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Дужина пута</w:t>
            </w:r>
            <w:r w:rsidRPr="007B3543">
              <w:rPr>
                <w:rFonts w:ascii="Tahoma" w:hAnsi="Tahoma" w:cs="Tahoma"/>
                <w:sz w:val="21"/>
                <w:szCs w:val="21"/>
              </w:rPr>
              <w:t xml:space="preserve"> </w:t>
            </w:r>
            <w:proofErr w:type="spellStart"/>
            <w:r w:rsidRPr="004E529F">
              <w:rPr>
                <w:rFonts w:ascii="Tahoma" w:hAnsi="Tahoma" w:cs="Tahoma"/>
                <w:sz w:val="21"/>
                <w:szCs w:val="21"/>
              </w:rPr>
              <w:t>km</w:t>
            </w:r>
            <w:proofErr w:type="spellEnd"/>
          </w:p>
        </w:tc>
      </w:tr>
      <w:tr w:rsidR="004E529F" w:rsidRPr="000B6DBE" w14:paraId="2CEB983D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D9E2F3" w:themeFill="accent1" w:themeFillTint="33"/>
          </w:tcPr>
          <w:p w14:paraId="1F415C3F" w14:textId="7578C53F" w:rsidR="004E529F" w:rsidRPr="007B3543" w:rsidRDefault="004E2247" w:rsidP="00D23BD1">
            <w:pP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4E2247"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Савремени коловоз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297C9EFA" w14:textId="43B69050" w:rsidR="004E529F" w:rsidRPr="007B3543" w:rsidRDefault="00F34864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</w:rPr>
              <w:t>91,9</w:t>
            </w:r>
          </w:p>
        </w:tc>
      </w:tr>
      <w:tr w:rsidR="004E529F" w:rsidRPr="000B6DBE" w14:paraId="1BBFA295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B4C6E7" w:themeFill="accent1" w:themeFillTint="66"/>
          </w:tcPr>
          <w:p w14:paraId="653C3792" w14:textId="21D75EBE" w:rsidR="004E529F" w:rsidRPr="007B3543" w:rsidRDefault="004E2247" w:rsidP="00D23BD1">
            <w:pP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4E2247"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Државни путеви I реда</w:t>
            </w:r>
          </w:p>
        </w:tc>
        <w:tc>
          <w:tcPr>
            <w:tcW w:w="2552" w:type="dxa"/>
            <w:shd w:val="clear" w:color="auto" w:fill="B4C6E7" w:themeFill="accent1" w:themeFillTint="66"/>
          </w:tcPr>
          <w:p w14:paraId="522CCCF5" w14:textId="3036E29D" w:rsidR="004E529F" w:rsidRPr="007B3543" w:rsidRDefault="00F34864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8,1</w:t>
            </w:r>
          </w:p>
        </w:tc>
      </w:tr>
      <w:tr w:rsidR="004E2247" w:rsidRPr="000B6DBE" w14:paraId="3168E710" w14:textId="77777777" w:rsidTr="005847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D9E2F3" w:themeFill="accent1" w:themeFillTint="33"/>
          </w:tcPr>
          <w:p w14:paraId="2EB18407" w14:textId="168EBCCD" w:rsidR="004E2247" w:rsidRPr="004E2247" w:rsidRDefault="004E2247" w:rsidP="004E2247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4E2247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од тога савремени коловоз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6B22CEEA" w14:textId="1770166A" w:rsidR="004E2247" w:rsidRPr="00B2076F" w:rsidRDefault="00F34864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sz w:val="21"/>
                <w:szCs w:val="21"/>
              </w:rPr>
              <w:t>8,1</w:t>
            </w:r>
          </w:p>
        </w:tc>
      </w:tr>
      <w:tr w:rsidR="004E2247" w:rsidRPr="000B6DBE" w14:paraId="455103A6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B4C6E7" w:themeFill="accent1" w:themeFillTint="66"/>
          </w:tcPr>
          <w:p w14:paraId="04A67EEF" w14:textId="4BBBD4B5" w:rsidR="004E2247" w:rsidRPr="007B3543" w:rsidRDefault="00B2076F" w:rsidP="00D23BD1">
            <w:pP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4E2247"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Државни путеви II реда</w:t>
            </w:r>
          </w:p>
        </w:tc>
        <w:tc>
          <w:tcPr>
            <w:tcW w:w="2552" w:type="dxa"/>
            <w:shd w:val="clear" w:color="auto" w:fill="B4C6E7" w:themeFill="accent1" w:themeFillTint="66"/>
          </w:tcPr>
          <w:p w14:paraId="0260595D" w14:textId="737DA8D0" w:rsidR="004E2247" w:rsidRPr="007B3543" w:rsidRDefault="00F34864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23,2</w:t>
            </w:r>
          </w:p>
        </w:tc>
      </w:tr>
      <w:tr w:rsidR="004E2247" w:rsidRPr="000B6DBE" w14:paraId="31D3324A" w14:textId="77777777" w:rsidTr="005847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D9E2F3" w:themeFill="accent1" w:themeFillTint="33"/>
          </w:tcPr>
          <w:p w14:paraId="1EBA973B" w14:textId="3E21422B" w:rsidR="004E2247" w:rsidRPr="007B3543" w:rsidRDefault="004E2247" w:rsidP="004E2247">
            <w:pPr>
              <w:ind w:left="284"/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4E2247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од тога савремени коловоз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77487591" w14:textId="02D6DD57" w:rsidR="004E2247" w:rsidRPr="0049781E" w:rsidRDefault="00F34864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sz w:val="21"/>
                <w:szCs w:val="21"/>
              </w:rPr>
              <w:t>23,2</w:t>
            </w:r>
          </w:p>
        </w:tc>
      </w:tr>
      <w:tr w:rsidR="004E2247" w:rsidRPr="000B6DBE" w14:paraId="6141DE38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B4C6E7" w:themeFill="accent1" w:themeFillTint="66"/>
          </w:tcPr>
          <w:p w14:paraId="50A534B0" w14:textId="4893DBED" w:rsidR="004E2247" w:rsidRPr="007B3543" w:rsidRDefault="00B2076F" w:rsidP="00D23BD1">
            <w:pP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B2076F"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Општински путеви</w:t>
            </w:r>
          </w:p>
        </w:tc>
        <w:tc>
          <w:tcPr>
            <w:tcW w:w="2552" w:type="dxa"/>
            <w:shd w:val="clear" w:color="auto" w:fill="B4C6E7" w:themeFill="accent1" w:themeFillTint="66"/>
          </w:tcPr>
          <w:p w14:paraId="6CE32651" w14:textId="27143CE5" w:rsidR="004E2247" w:rsidRPr="007B3543" w:rsidRDefault="0049781E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6</w:t>
            </w:r>
            <w:r w:rsidR="00F34864">
              <w:rPr>
                <w:rFonts w:ascii="Tahoma" w:hAnsi="Tahoma" w:cs="Tahoma"/>
                <w:sz w:val="21"/>
                <w:szCs w:val="21"/>
              </w:rPr>
              <w:t>0,7</w:t>
            </w:r>
          </w:p>
        </w:tc>
      </w:tr>
      <w:tr w:rsidR="004E529F" w:rsidRPr="000B6DBE" w14:paraId="7225700A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D9E2F3" w:themeFill="accent1" w:themeFillTint="33"/>
          </w:tcPr>
          <w:p w14:paraId="21CCDDDC" w14:textId="3D9F055B" w:rsidR="004E529F" w:rsidRPr="007B3543" w:rsidRDefault="004E2247" w:rsidP="004E2247">
            <w:pPr>
              <w:ind w:left="284"/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4E2247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од тога савремени коловоз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4B680F72" w14:textId="5A132B82" w:rsidR="004E529F" w:rsidRPr="0049781E" w:rsidRDefault="00F34864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60,7</w:t>
            </w:r>
          </w:p>
        </w:tc>
      </w:tr>
      <w:tr w:rsidR="004E529F" w:rsidRPr="000B6DBE" w14:paraId="2C1D53EC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2F5496" w:themeFill="accent1" w:themeFillShade="BF"/>
          </w:tcPr>
          <w:p w14:paraId="2148117E" w14:textId="77777777" w:rsidR="004E529F" w:rsidRPr="007B3543" w:rsidRDefault="004E529F" w:rsidP="00D23BD1">
            <w:pPr>
              <w:rPr>
                <w:rFonts w:ascii="Tahoma" w:hAnsi="Tahoma" w:cs="Tahoma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7B3543">
              <w:rPr>
                <w:rFonts w:ascii="Tahoma" w:hAnsi="Tahoma" w:cs="Tahoma"/>
                <w:sz w:val="21"/>
                <w:szCs w:val="21"/>
              </w:rPr>
              <w:t>Укупно</w:t>
            </w:r>
          </w:p>
        </w:tc>
        <w:tc>
          <w:tcPr>
            <w:tcW w:w="2552" w:type="dxa"/>
            <w:shd w:val="clear" w:color="auto" w:fill="2F5496" w:themeFill="accent1" w:themeFillShade="BF"/>
          </w:tcPr>
          <w:p w14:paraId="64D3CAF0" w14:textId="41F45A8B" w:rsidR="004E529F" w:rsidRPr="007B3543" w:rsidRDefault="000056A3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1"/>
                <w:szCs w:val="21"/>
              </w:rPr>
              <w:t>91,9</w:t>
            </w:r>
          </w:p>
        </w:tc>
      </w:tr>
    </w:tbl>
    <w:p w14:paraId="0BFD5CD3" w14:textId="139590C9" w:rsidR="00211835" w:rsidRDefault="00E10BC1">
      <w:pPr>
        <w:rPr>
          <w:rFonts w:ascii="Tahoma" w:hAnsi="Tahoma" w:cs="Tahoma"/>
        </w:rPr>
      </w:pPr>
      <w:r w:rsidRPr="00554121">
        <w:rPr>
          <w:rFonts w:ascii="Tahoma" w:hAnsi="Tahoma" w:cs="Tahoma"/>
          <w:sz w:val="18"/>
          <w:szCs w:val="18"/>
        </w:rPr>
        <w:t>Извор:</w:t>
      </w:r>
      <w:r w:rsidRPr="00554121">
        <w:rPr>
          <w:rFonts w:ascii="Tahoma" w:hAnsi="Tahoma" w:cs="Tahoma"/>
          <w:i/>
          <w:iCs/>
          <w:sz w:val="18"/>
          <w:szCs w:val="18"/>
        </w:rPr>
        <w:t xml:space="preserve"> Општине и региони у Републици Србији 2020, </w:t>
      </w:r>
      <w:r w:rsidRPr="00554121">
        <w:rPr>
          <w:rFonts w:ascii="Tahoma" w:hAnsi="Tahoma" w:cs="Tahoma"/>
          <w:sz w:val="18"/>
          <w:szCs w:val="18"/>
        </w:rPr>
        <w:t>Републички завод за статистику.</w:t>
      </w:r>
      <w:r>
        <w:rPr>
          <w:rFonts w:ascii="Tahoma" w:hAnsi="Tahoma" w:cs="Tahoma"/>
        </w:rPr>
        <w:t xml:space="preserve"> </w:t>
      </w:r>
    </w:p>
    <w:p w14:paraId="5312E507" w14:textId="77777777" w:rsidR="009C73DD" w:rsidRPr="00E10BC1" w:rsidRDefault="009C73DD" w:rsidP="00E10BC1">
      <w:pPr>
        <w:spacing w:line="259" w:lineRule="auto"/>
        <w:rPr>
          <w:rFonts w:ascii="Tahoma" w:hAnsi="Tahoma" w:cs="Tahoma"/>
          <w:sz w:val="10"/>
          <w:szCs w:val="10"/>
        </w:rPr>
      </w:pPr>
    </w:p>
    <w:p w14:paraId="403538EA" w14:textId="256B1B3E" w:rsidR="00AA6016" w:rsidRPr="00E10BC1" w:rsidRDefault="00AA6016" w:rsidP="007243F6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E10BC1">
        <w:rPr>
          <w:rFonts w:ascii="Tahoma" w:hAnsi="Tahoma" w:cs="Tahoma"/>
          <w:color w:val="2F5496"/>
        </w:rPr>
        <w:lastRenderedPageBreak/>
        <w:t>Графикон 6</w:t>
      </w:r>
      <w:r w:rsidR="00E23AF8" w:rsidRPr="00E10BC1">
        <w:rPr>
          <w:rFonts w:ascii="Tahoma" w:hAnsi="Tahoma" w:cs="Tahoma"/>
          <w:color w:val="2F5496"/>
        </w:rPr>
        <w:t>.</w:t>
      </w:r>
      <w:r w:rsidRPr="00E10BC1">
        <w:rPr>
          <w:rFonts w:ascii="Tahoma" w:hAnsi="Tahoma" w:cs="Tahoma"/>
          <w:color w:val="2F5496"/>
        </w:rPr>
        <w:t xml:space="preserve"> Густина путева</w:t>
      </w:r>
      <w:r w:rsidR="00AB2669">
        <w:rPr>
          <w:rFonts w:ascii="Tahoma" w:hAnsi="Tahoma" w:cs="Tahoma"/>
          <w:color w:val="2F5496"/>
        </w:rPr>
        <w:t xml:space="preserve"> на територији општине </w:t>
      </w:r>
      <w:proofErr w:type="spellStart"/>
      <w:r w:rsidR="00EE3880">
        <w:rPr>
          <w:rFonts w:ascii="Tahoma" w:hAnsi="Tahoma" w:cs="Tahoma"/>
          <w:color w:val="2F5496"/>
        </w:rPr>
        <w:t>Бач</w:t>
      </w:r>
      <w:proofErr w:type="spellEnd"/>
      <w:r w:rsidR="00416222">
        <w:rPr>
          <w:rFonts w:ascii="Tahoma" w:hAnsi="Tahoma" w:cs="Tahoma"/>
          <w:color w:val="2F5496"/>
        </w:rPr>
        <w:t>, за период 2011-2019.</w:t>
      </w:r>
    </w:p>
    <w:p w14:paraId="0E826E95" w14:textId="70D8CBF6" w:rsidR="00100D5E" w:rsidRPr="00F47A45" w:rsidRDefault="00CA4913" w:rsidP="00CA4913">
      <w:pPr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48159779" wp14:editId="48F010C8">
            <wp:extent cx="4305300" cy="2257425"/>
            <wp:effectExtent l="0" t="0" r="0" b="9525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EBC5D5BF-AA9C-4246-833C-D2A57487E4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8F70C92" w14:textId="1D5A2D61" w:rsidR="006B53EF" w:rsidRPr="009358CB" w:rsidRDefault="00E10BC1" w:rsidP="009358CB">
      <w:pPr>
        <w:spacing w:after="80" w:line="259" w:lineRule="auto"/>
        <w:jc w:val="left"/>
        <w:rPr>
          <w:rFonts w:ascii="Tahoma" w:hAnsi="Tahoma" w:cs="Tahoma"/>
        </w:rPr>
      </w:pPr>
      <w:r w:rsidRPr="00E10BC1">
        <w:rPr>
          <w:rFonts w:ascii="Tahoma" w:hAnsi="Tahoma" w:cs="Tahoma"/>
          <w:sz w:val="18"/>
          <w:szCs w:val="18"/>
        </w:rPr>
        <w:t xml:space="preserve">Извор: </w:t>
      </w:r>
      <w:r w:rsidR="009358CB" w:rsidRPr="00AF3C50">
        <w:rPr>
          <w:rFonts w:ascii="Tahoma" w:hAnsi="Tahoma" w:cs="Tahoma"/>
          <w:sz w:val="18"/>
          <w:szCs w:val="18"/>
        </w:rPr>
        <w:t xml:space="preserve">Републички завод за статистику, </w:t>
      </w:r>
      <w:proofErr w:type="spellStart"/>
      <w:r w:rsidR="009358CB" w:rsidRPr="00AF3C50">
        <w:rPr>
          <w:rFonts w:ascii="Tahoma" w:hAnsi="Tahoma" w:cs="Tahoma"/>
          <w:sz w:val="18"/>
          <w:szCs w:val="18"/>
        </w:rPr>
        <w:t>ДевИнфо</w:t>
      </w:r>
      <w:proofErr w:type="spellEnd"/>
      <w:r w:rsidR="009358CB" w:rsidRPr="00AF3C50">
        <w:rPr>
          <w:rFonts w:ascii="Tahoma" w:hAnsi="Tahoma" w:cs="Tahoma"/>
          <w:sz w:val="18"/>
          <w:szCs w:val="18"/>
        </w:rPr>
        <w:t xml:space="preserve"> база</w:t>
      </w:r>
      <w:r w:rsidR="009358CB">
        <w:rPr>
          <w:rFonts w:ascii="Tahoma" w:hAnsi="Tahoma" w:cs="Tahoma"/>
          <w:sz w:val="18"/>
          <w:szCs w:val="18"/>
        </w:rPr>
        <w:t>.</w:t>
      </w:r>
      <w:r w:rsidR="009358CB" w:rsidRPr="009C73DD">
        <w:rPr>
          <w:rFonts w:ascii="Tahoma" w:hAnsi="Tahoma" w:cs="Tahoma"/>
          <w:sz w:val="18"/>
          <w:szCs w:val="18"/>
        </w:rPr>
        <w:t xml:space="preserve"> </w:t>
      </w:r>
    </w:p>
    <w:p w14:paraId="3B7BE5CB" w14:textId="77777777" w:rsidR="00AA6016" w:rsidRPr="00E10BC1" w:rsidRDefault="00AA6016" w:rsidP="00A75488">
      <w:pPr>
        <w:spacing w:after="80" w:line="259" w:lineRule="auto"/>
        <w:rPr>
          <w:rFonts w:ascii="Tahoma" w:hAnsi="Tahoma" w:cs="Tahoma"/>
          <w:sz w:val="10"/>
          <w:szCs w:val="10"/>
        </w:rPr>
      </w:pPr>
    </w:p>
    <w:p w14:paraId="6C6E6B7C" w14:textId="02C71DE2" w:rsidR="00E572A6" w:rsidRPr="00F47A45" w:rsidRDefault="00E572A6" w:rsidP="00D72D08">
      <w:pPr>
        <w:spacing w:after="160" w:line="259" w:lineRule="auto"/>
        <w:rPr>
          <w:rFonts w:ascii="Tahoma" w:hAnsi="Tahoma" w:cs="Tahoma"/>
        </w:rPr>
      </w:pPr>
      <w:r w:rsidRPr="00E572A6">
        <w:rPr>
          <w:rFonts w:ascii="Tahoma" w:hAnsi="Tahoma" w:cs="Tahoma"/>
        </w:rPr>
        <w:t xml:space="preserve">Густина путева се није значајно мењала на територији општине </w:t>
      </w:r>
      <w:proofErr w:type="spellStart"/>
      <w:r w:rsidRPr="00E572A6">
        <w:rPr>
          <w:rFonts w:ascii="Tahoma" w:hAnsi="Tahoma" w:cs="Tahoma"/>
        </w:rPr>
        <w:t>Бач</w:t>
      </w:r>
      <w:proofErr w:type="spellEnd"/>
      <w:r w:rsidRPr="00E572A6">
        <w:rPr>
          <w:rFonts w:ascii="Tahoma" w:hAnsi="Tahoma" w:cs="Tahoma"/>
        </w:rPr>
        <w:t xml:space="preserve"> и </w:t>
      </w:r>
      <w:r w:rsidRPr="00E572A6">
        <w:rPr>
          <w:rFonts w:ascii="Tahoma" w:hAnsi="Tahoma" w:cs="Tahoma"/>
          <w:b/>
          <w:bCs/>
          <w:color w:val="2F5496"/>
        </w:rPr>
        <w:t>спада у мање густине путева</w:t>
      </w:r>
      <w:r w:rsidRPr="00E572A6">
        <w:rPr>
          <w:rFonts w:ascii="Tahoma" w:hAnsi="Tahoma" w:cs="Tahoma"/>
        </w:rPr>
        <w:t xml:space="preserve"> у панелу локалних самоуправа са којима смо поредили општину </w:t>
      </w:r>
      <w:proofErr w:type="spellStart"/>
      <w:r w:rsidRPr="00E572A6">
        <w:rPr>
          <w:rFonts w:ascii="Tahoma" w:hAnsi="Tahoma" w:cs="Tahoma"/>
        </w:rPr>
        <w:t>Бач</w:t>
      </w:r>
      <w:proofErr w:type="spellEnd"/>
      <w:r w:rsidRPr="00E572A6">
        <w:rPr>
          <w:rFonts w:ascii="Tahoma" w:hAnsi="Tahoma" w:cs="Tahoma"/>
        </w:rPr>
        <w:t xml:space="preserve"> по овом показатељу.</w:t>
      </w:r>
    </w:p>
    <w:p w14:paraId="451F52D3" w14:textId="2028C32E" w:rsidR="00100D5E" w:rsidRPr="00A75488" w:rsidRDefault="00100D5E" w:rsidP="009C1B3F">
      <w:pPr>
        <w:spacing w:line="259" w:lineRule="auto"/>
        <w:rPr>
          <w:rFonts w:ascii="Tahoma" w:hAnsi="Tahoma" w:cs="Tahoma"/>
          <w:sz w:val="10"/>
          <w:szCs w:val="10"/>
        </w:rPr>
      </w:pPr>
    </w:p>
    <w:p w14:paraId="7A5C6637" w14:textId="4BDC2A4C" w:rsidR="00100D5E" w:rsidRPr="00A75488" w:rsidRDefault="00AA6016" w:rsidP="00A75488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A75488">
        <w:rPr>
          <w:rFonts w:ascii="Tahoma" w:hAnsi="Tahoma" w:cs="Tahoma"/>
          <w:color w:val="2F5496"/>
        </w:rPr>
        <w:t>Графикон 7</w:t>
      </w:r>
      <w:r w:rsidR="00E23AF8" w:rsidRPr="00A75488">
        <w:rPr>
          <w:rFonts w:ascii="Tahoma" w:hAnsi="Tahoma" w:cs="Tahoma"/>
          <w:color w:val="2F5496"/>
        </w:rPr>
        <w:t>.</w:t>
      </w:r>
      <w:r w:rsidRPr="00A75488">
        <w:rPr>
          <w:rFonts w:ascii="Tahoma" w:hAnsi="Tahoma" w:cs="Tahoma"/>
          <w:color w:val="2F5496"/>
        </w:rPr>
        <w:t xml:space="preserve"> Густина путева у панелу локалних самоуправа</w:t>
      </w:r>
      <w:r w:rsidR="00641C1E">
        <w:rPr>
          <w:rFonts w:ascii="Tahoma" w:hAnsi="Tahoma" w:cs="Tahoma"/>
          <w:color w:val="2F5496"/>
        </w:rPr>
        <w:t xml:space="preserve">, у 2019. </w:t>
      </w:r>
    </w:p>
    <w:p w14:paraId="7B300BF5" w14:textId="47088E8F" w:rsidR="00100D5E" w:rsidRPr="00F47A45" w:rsidRDefault="00DC55E1">
      <w:pPr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E51E0F0" wp14:editId="6D115430">
            <wp:extent cx="5731510" cy="2857500"/>
            <wp:effectExtent l="0" t="0" r="2540" b="0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7C3D530B-75E6-F040-8C34-3597B1DBA2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6249FB9" w14:textId="0D7E8538" w:rsidR="0098292F" w:rsidRPr="00A75488" w:rsidRDefault="00F10200" w:rsidP="00A75488">
      <w:pPr>
        <w:spacing w:after="80" w:line="259" w:lineRule="auto"/>
        <w:rPr>
          <w:rFonts w:ascii="Tahoma" w:hAnsi="Tahoma" w:cs="Tahoma"/>
          <w:sz w:val="18"/>
          <w:szCs w:val="18"/>
        </w:rPr>
      </w:pPr>
      <w:r w:rsidRPr="00E10BC1">
        <w:rPr>
          <w:rFonts w:ascii="Tahoma" w:hAnsi="Tahoma" w:cs="Tahoma"/>
          <w:sz w:val="18"/>
          <w:szCs w:val="18"/>
        </w:rPr>
        <w:t xml:space="preserve">Извор: </w:t>
      </w:r>
      <w:r w:rsidRPr="00AF3C50">
        <w:rPr>
          <w:rFonts w:ascii="Tahoma" w:hAnsi="Tahoma" w:cs="Tahoma"/>
          <w:sz w:val="18"/>
          <w:szCs w:val="18"/>
        </w:rPr>
        <w:t xml:space="preserve">Републички завод за статистику, </w:t>
      </w:r>
      <w:proofErr w:type="spellStart"/>
      <w:r w:rsidRPr="00AF3C50">
        <w:rPr>
          <w:rFonts w:ascii="Tahoma" w:hAnsi="Tahoma" w:cs="Tahoma"/>
          <w:sz w:val="18"/>
          <w:szCs w:val="18"/>
        </w:rPr>
        <w:t>ДевИнфо</w:t>
      </w:r>
      <w:proofErr w:type="spellEnd"/>
      <w:r w:rsidRPr="00AF3C50">
        <w:rPr>
          <w:rFonts w:ascii="Tahoma" w:hAnsi="Tahoma" w:cs="Tahoma"/>
          <w:sz w:val="18"/>
          <w:szCs w:val="18"/>
        </w:rPr>
        <w:t xml:space="preserve"> база</w:t>
      </w:r>
      <w:r>
        <w:rPr>
          <w:rFonts w:ascii="Tahoma" w:hAnsi="Tahoma" w:cs="Tahoma"/>
          <w:sz w:val="18"/>
          <w:szCs w:val="18"/>
        </w:rPr>
        <w:t>.</w:t>
      </w:r>
    </w:p>
    <w:p w14:paraId="2F30DE29" w14:textId="77777777" w:rsidR="00A75488" w:rsidRPr="00A75488" w:rsidRDefault="00A75488" w:rsidP="00A75488">
      <w:pPr>
        <w:spacing w:line="259" w:lineRule="auto"/>
        <w:rPr>
          <w:rFonts w:ascii="Tahoma" w:hAnsi="Tahoma" w:cs="Tahoma"/>
          <w:sz w:val="10"/>
          <w:szCs w:val="10"/>
        </w:rPr>
      </w:pPr>
    </w:p>
    <w:p w14:paraId="3C9BDF2E" w14:textId="7DD1227E" w:rsidR="009D5D36" w:rsidRPr="00F47A45" w:rsidRDefault="009D5D36" w:rsidP="00D72D08">
      <w:pPr>
        <w:spacing w:after="160" w:line="259" w:lineRule="auto"/>
        <w:rPr>
          <w:rFonts w:ascii="Tahoma" w:hAnsi="Tahoma" w:cs="Tahoma"/>
        </w:rPr>
      </w:pPr>
      <w:r w:rsidRPr="009D5D36">
        <w:rPr>
          <w:rFonts w:ascii="Tahoma" w:hAnsi="Tahoma" w:cs="Tahoma"/>
        </w:rPr>
        <w:t>Трошкови одржавања постојеће путне мреже и изградње нови</w:t>
      </w:r>
      <w:r>
        <w:rPr>
          <w:rFonts w:ascii="Tahoma" w:hAnsi="Tahoma" w:cs="Tahoma"/>
        </w:rPr>
        <w:t>х</w:t>
      </w:r>
      <w:r w:rsidRPr="009D5D36">
        <w:rPr>
          <w:rFonts w:ascii="Tahoma" w:hAnsi="Tahoma" w:cs="Tahoma"/>
        </w:rPr>
        <w:t xml:space="preserve"> саобраћајница имају велико учешће у укупним буџетски</w:t>
      </w:r>
      <w:r>
        <w:rPr>
          <w:rFonts w:ascii="Tahoma" w:hAnsi="Tahoma" w:cs="Tahoma"/>
        </w:rPr>
        <w:t>м</w:t>
      </w:r>
      <w:r w:rsidRPr="009D5D36">
        <w:rPr>
          <w:rFonts w:ascii="Tahoma" w:hAnsi="Tahoma" w:cs="Tahoma"/>
        </w:rPr>
        <w:t xml:space="preserve"> трошковима и кретали су се у анализираном периоду између 5% и 25%</w:t>
      </w:r>
      <w:r>
        <w:rPr>
          <w:rFonts w:ascii="Tahoma" w:hAnsi="Tahoma" w:cs="Tahoma"/>
        </w:rPr>
        <w:t xml:space="preserve"> (Графикон 8)</w:t>
      </w:r>
      <w:r w:rsidRPr="009D5D36">
        <w:rPr>
          <w:rFonts w:ascii="Tahoma" w:hAnsi="Tahoma" w:cs="Tahoma"/>
        </w:rPr>
        <w:t>. Велики део издатака у посматраном периоду је опредељен за реконструкцију локалног пута Л7.</w:t>
      </w:r>
    </w:p>
    <w:p w14:paraId="615502A5" w14:textId="5B253A7A" w:rsidR="009D5D36" w:rsidRDefault="009D5D36">
      <w:pPr>
        <w:jc w:val="left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sz w:val="10"/>
          <w:szCs w:val="10"/>
        </w:rPr>
        <w:br w:type="page"/>
      </w:r>
    </w:p>
    <w:p w14:paraId="6A0CA7F0" w14:textId="574152F0" w:rsidR="00C51545" w:rsidRPr="00A75488" w:rsidRDefault="00AA6016" w:rsidP="00D102A2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A75488">
        <w:rPr>
          <w:rFonts w:ascii="Tahoma" w:hAnsi="Tahoma" w:cs="Tahoma"/>
          <w:color w:val="2F5496"/>
        </w:rPr>
        <w:lastRenderedPageBreak/>
        <w:t>Графикон 8</w:t>
      </w:r>
      <w:r w:rsidR="0065404A" w:rsidRPr="00A75488">
        <w:rPr>
          <w:rFonts w:ascii="Tahoma" w:hAnsi="Tahoma" w:cs="Tahoma"/>
          <w:color w:val="2F5496"/>
        </w:rPr>
        <w:t>.</w:t>
      </w:r>
      <w:r w:rsidRPr="00A75488">
        <w:rPr>
          <w:rFonts w:ascii="Tahoma" w:hAnsi="Tahoma" w:cs="Tahoma"/>
          <w:color w:val="2F5496"/>
        </w:rPr>
        <w:t xml:space="preserve"> </w:t>
      </w:r>
      <w:r w:rsidR="0028032B">
        <w:rPr>
          <w:rFonts w:ascii="Tahoma" w:hAnsi="Tahoma" w:cs="Tahoma"/>
          <w:color w:val="2F5496"/>
        </w:rPr>
        <w:t>Расходи</w:t>
      </w:r>
      <w:r w:rsidRPr="00A75488">
        <w:rPr>
          <w:rFonts w:ascii="Tahoma" w:hAnsi="Tahoma" w:cs="Tahoma"/>
          <w:color w:val="2F5496"/>
        </w:rPr>
        <w:t xml:space="preserve"> буџета </w:t>
      </w:r>
      <w:r w:rsidR="0028032B">
        <w:rPr>
          <w:rFonts w:ascii="Tahoma" w:hAnsi="Tahoma" w:cs="Tahoma"/>
          <w:color w:val="2F5496"/>
        </w:rPr>
        <w:t>за друмски саобраћај (% укупних расхода буџета), за период 2015-2020.</w:t>
      </w:r>
    </w:p>
    <w:p w14:paraId="33337C32" w14:textId="4CDFC075" w:rsidR="00F2708B" w:rsidRPr="00F47A45" w:rsidRDefault="0018400D" w:rsidP="0018400D">
      <w:pPr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3EE7142F" wp14:editId="35536359">
            <wp:extent cx="4305300" cy="2295525"/>
            <wp:effectExtent l="0" t="0" r="0" b="9525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5D723F5A-81EB-44BF-9523-F65C2573078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527F8D0" w14:textId="2E635B44" w:rsidR="00AA6016" w:rsidRDefault="00AC068D" w:rsidP="00755347">
      <w:pPr>
        <w:spacing w:after="80" w:line="259" w:lineRule="auto"/>
        <w:rPr>
          <w:rFonts w:ascii="Tahoma" w:hAnsi="Tahoma" w:cs="Tahoma"/>
          <w:sz w:val="18"/>
          <w:szCs w:val="18"/>
        </w:rPr>
      </w:pPr>
      <w:bookmarkStart w:id="1" w:name="_Toc17346460"/>
      <w:bookmarkStart w:id="2" w:name="_Toc18839098"/>
      <w:r w:rsidRPr="00E10BC1">
        <w:rPr>
          <w:rFonts w:ascii="Tahoma" w:hAnsi="Tahoma" w:cs="Tahoma"/>
          <w:sz w:val="18"/>
          <w:szCs w:val="18"/>
        </w:rPr>
        <w:t xml:space="preserve">Извор: </w:t>
      </w:r>
      <w:r w:rsidR="00FD4571">
        <w:rPr>
          <w:rFonts w:ascii="Tahoma" w:hAnsi="Tahoma" w:cs="Tahoma"/>
          <w:sz w:val="18"/>
          <w:szCs w:val="18"/>
        </w:rPr>
        <w:t xml:space="preserve">Општина </w:t>
      </w:r>
      <w:proofErr w:type="spellStart"/>
      <w:r w:rsidR="00FD4571">
        <w:rPr>
          <w:rFonts w:ascii="Tahoma" w:hAnsi="Tahoma" w:cs="Tahoma"/>
          <w:sz w:val="18"/>
          <w:szCs w:val="18"/>
        </w:rPr>
        <w:t>Бач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14:paraId="7F35A22B" w14:textId="77777777" w:rsidR="00755347" w:rsidRPr="00755347" w:rsidRDefault="00755347" w:rsidP="00755347">
      <w:pPr>
        <w:spacing w:after="80" w:line="259" w:lineRule="auto"/>
        <w:rPr>
          <w:rStyle w:val="Heading3Char"/>
          <w:rFonts w:ascii="Tahoma" w:eastAsiaTheme="minorHAnsi" w:hAnsi="Tahoma" w:cs="Tahoma"/>
          <w:color w:val="auto"/>
          <w:sz w:val="10"/>
          <w:szCs w:val="10"/>
          <w:lang w:val="sr-Cyrl-RS"/>
        </w:rPr>
      </w:pPr>
    </w:p>
    <w:p w14:paraId="2E721D7E" w14:textId="6C28D2B2" w:rsidR="0098292F" w:rsidRPr="00A748B5" w:rsidRDefault="0098292F" w:rsidP="00A748B5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r w:rsidRPr="00A748B5">
        <w:rPr>
          <w:rFonts w:ascii="Tahoma" w:hAnsi="Tahoma" w:cs="Tahoma"/>
          <w:b/>
          <w:bCs/>
          <w:sz w:val="28"/>
          <w:szCs w:val="28"/>
        </w:rPr>
        <w:t>Снабдевање електричном енергијом</w:t>
      </w:r>
      <w:bookmarkEnd w:id="1"/>
      <w:bookmarkEnd w:id="2"/>
      <w:r w:rsidRPr="00A748B5">
        <w:rPr>
          <w:rFonts w:ascii="Tahoma" w:hAnsi="Tahoma" w:cs="Tahoma"/>
          <w:b/>
          <w:bCs/>
          <w:sz w:val="28"/>
          <w:szCs w:val="28"/>
        </w:rPr>
        <w:t xml:space="preserve"> </w:t>
      </w:r>
    </w:p>
    <w:p w14:paraId="75C2D5BB" w14:textId="04AF4C4C" w:rsidR="00A303C3" w:rsidRPr="00A303C3" w:rsidRDefault="00A303C3" w:rsidP="00A303C3">
      <w:pPr>
        <w:spacing w:after="160" w:line="259" w:lineRule="auto"/>
        <w:rPr>
          <w:rFonts w:ascii="Tahoma" w:hAnsi="Tahoma" w:cs="Tahoma"/>
        </w:rPr>
      </w:pPr>
      <w:r w:rsidRPr="00A303C3">
        <w:rPr>
          <w:rFonts w:ascii="Tahoma" w:hAnsi="Tahoma" w:cs="Tahoma"/>
        </w:rPr>
        <w:t xml:space="preserve">Снабдевање електричном енергијом потрошача на простору општине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изведено је путем преносне </w:t>
      </w:r>
      <w:proofErr w:type="spellStart"/>
      <w:r w:rsidRPr="00A303C3">
        <w:rPr>
          <w:rFonts w:ascii="Tahoma" w:hAnsi="Tahoma" w:cs="Tahoma"/>
        </w:rPr>
        <w:t>средњенапонске</w:t>
      </w:r>
      <w:proofErr w:type="spellEnd"/>
      <w:r w:rsidRPr="00A303C3">
        <w:rPr>
          <w:rFonts w:ascii="Tahoma" w:hAnsi="Tahoma" w:cs="Tahoma"/>
        </w:rPr>
        <w:t xml:space="preserve"> (20 </w:t>
      </w:r>
      <w:r>
        <w:rPr>
          <w:rFonts w:ascii="Tahoma" w:hAnsi="Tahoma" w:cs="Tahoma"/>
          <w:lang w:val="sr-Latn-RS"/>
        </w:rPr>
        <w:t>k</w:t>
      </w:r>
      <w:r w:rsidRPr="00A303C3">
        <w:rPr>
          <w:rFonts w:ascii="Tahoma" w:hAnsi="Tahoma" w:cs="Tahoma"/>
        </w:rPr>
        <w:t>V) електроенергетске мреже у дужини од око 132,6</w:t>
      </w:r>
      <w:r>
        <w:rPr>
          <w:rFonts w:ascii="Tahoma" w:hAnsi="Tahoma" w:cs="Tahoma"/>
          <w:lang w:val="sr-Latn-RS"/>
        </w:rPr>
        <w:t>km</w:t>
      </w:r>
      <w:r w:rsidRPr="00A303C3">
        <w:rPr>
          <w:rFonts w:ascii="Tahoma" w:hAnsi="Tahoma" w:cs="Tahoma"/>
        </w:rPr>
        <w:t xml:space="preserve"> и </w:t>
      </w:r>
      <w:proofErr w:type="spellStart"/>
      <w:r w:rsidRPr="00A303C3">
        <w:rPr>
          <w:rFonts w:ascii="Tahoma" w:hAnsi="Tahoma" w:cs="Tahoma"/>
        </w:rPr>
        <w:t>нисконапонске</w:t>
      </w:r>
      <w:proofErr w:type="spellEnd"/>
      <w:r w:rsidRPr="00A303C3">
        <w:rPr>
          <w:rFonts w:ascii="Tahoma" w:hAnsi="Tahoma" w:cs="Tahoma"/>
        </w:rPr>
        <w:t xml:space="preserve"> (0,4 </w:t>
      </w:r>
      <w:r>
        <w:rPr>
          <w:rFonts w:ascii="Tahoma" w:hAnsi="Tahoma" w:cs="Tahoma"/>
          <w:lang w:val="sr-Latn-RS"/>
        </w:rPr>
        <w:t>k</w:t>
      </w:r>
      <w:r w:rsidRPr="00A303C3">
        <w:rPr>
          <w:rFonts w:ascii="Tahoma" w:hAnsi="Tahoma" w:cs="Tahoma"/>
        </w:rPr>
        <w:t>V) електроенергетске мреже у укупној дужини од око 107,8</w:t>
      </w:r>
      <w:r>
        <w:rPr>
          <w:rFonts w:ascii="Tahoma" w:hAnsi="Tahoma" w:cs="Tahoma"/>
          <w:lang w:val="sr-Latn-RS"/>
        </w:rPr>
        <w:t>km</w:t>
      </w:r>
      <w:r w:rsidRPr="00A303C3">
        <w:rPr>
          <w:rFonts w:ascii="Tahoma" w:hAnsi="Tahoma" w:cs="Tahoma"/>
        </w:rPr>
        <w:t xml:space="preserve"> са припадајућим </w:t>
      </w:r>
      <w:proofErr w:type="spellStart"/>
      <w:r w:rsidRPr="00A303C3">
        <w:rPr>
          <w:rFonts w:ascii="Tahoma" w:hAnsi="Tahoma" w:cs="Tahoma"/>
        </w:rPr>
        <w:t>трафостаницама</w:t>
      </w:r>
      <w:proofErr w:type="spellEnd"/>
      <w:r w:rsidRPr="00A303C3">
        <w:rPr>
          <w:rFonts w:ascii="Tahoma" w:hAnsi="Tahoma" w:cs="Tahoma"/>
        </w:rPr>
        <w:t xml:space="preserve"> (20/0,4 </w:t>
      </w:r>
      <w:r>
        <w:rPr>
          <w:rFonts w:ascii="Tahoma" w:hAnsi="Tahoma" w:cs="Tahoma"/>
          <w:lang w:val="sr-Latn-RS"/>
        </w:rPr>
        <w:t>k</w:t>
      </w:r>
      <w:r w:rsidRPr="00A303C3">
        <w:rPr>
          <w:rFonts w:ascii="Tahoma" w:hAnsi="Tahoma" w:cs="Tahoma"/>
        </w:rPr>
        <w:t xml:space="preserve">V). Изграђено је укупно 95 </w:t>
      </w:r>
      <w:proofErr w:type="spellStart"/>
      <w:r w:rsidRPr="00A303C3">
        <w:rPr>
          <w:rFonts w:ascii="Tahoma" w:hAnsi="Tahoma" w:cs="Tahoma"/>
        </w:rPr>
        <w:t>трафостаница</w:t>
      </w:r>
      <w:proofErr w:type="spellEnd"/>
      <w:r w:rsidRPr="00A303C3">
        <w:rPr>
          <w:rFonts w:ascii="Tahoma" w:hAnsi="Tahoma" w:cs="Tahoma"/>
        </w:rPr>
        <w:t xml:space="preserve"> на посматраној територији, укупне снаге 26,98 МW.</w:t>
      </w:r>
    </w:p>
    <w:p w14:paraId="152F3DC4" w14:textId="77777777" w:rsidR="00A83910" w:rsidRDefault="00A303C3" w:rsidP="00A303C3">
      <w:pPr>
        <w:spacing w:after="160" w:line="259" w:lineRule="auto"/>
        <w:rPr>
          <w:rFonts w:ascii="Tahoma" w:hAnsi="Tahoma" w:cs="Tahoma"/>
        </w:rPr>
      </w:pPr>
      <w:r w:rsidRPr="00A303C3">
        <w:rPr>
          <w:rFonts w:ascii="Tahoma" w:hAnsi="Tahoma" w:cs="Tahoma"/>
        </w:rPr>
        <w:t xml:space="preserve">Насеље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се напаја преко 20 </w:t>
      </w:r>
      <w:r w:rsidR="00A83910">
        <w:rPr>
          <w:rFonts w:ascii="Tahoma" w:hAnsi="Tahoma" w:cs="Tahoma"/>
          <w:lang w:val="sr-Latn-RS"/>
        </w:rPr>
        <w:t>k</w:t>
      </w:r>
      <w:r w:rsidRPr="00A303C3">
        <w:rPr>
          <w:rFonts w:ascii="Tahoma" w:hAnsi="Tahoma" w:cs="Tahoma"/>
        </w:rPr>
        <w:t xml:space="preserve">V извода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2'' и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1'', а постоји веза за напајање преко 20 </w:t>
      </w:r>
      <w:r w:rsidR="00A83910">
        <w:rPr>
          <w:rFonts w:ascii="Tahoma" w:hAnsi="Tahoma" w:cs="Tahoma"/>
          <w:lang w:val="sr-Latn-RS"/>
        </w:rPr>
        <w:t>k</w:t>
      </w:r>
      <w:r w:rsidRPr="00A303C3">
        <w:rPr>
          <w:rFonts w:ascii="Tahoma" w:hAnsi="Tahoma" w:cs="Tahoma"/>
        </w:rPr>
        <w:t>V извода ''</w:t>
      </w:r>
      <w:proofErr w:type="spellStart"/>
      <w:r w:rsidRPr="00A303C3">
        <w:rPr>
          <w:rFonts w:ascii="Tahoma" w:hAnsi="Tahoma" w:cs="Tahoma"/>
        </w:rPr>
        <w:t>Вајска</w:t>
      </w:r>
      <w:proofErr w:type="spellEnd"/>
      <w:r w:rsidRPr="00A303C3">
        <w:rPr>
          <w:rFonts w:ascii="Tahoma" w:hAnsi="Tahoma" w:cs="Tahoma"/>
        </w:rPr>
        <w:t xml:space="preserve">''. Насеље </w:t>
      </w:r>
      <w:proofErr w:type="spellStart"/>
      <w:r w:rsidRPr="00A303C3">
        <w:rPr>
          <w:rFonts w:ascii="Tahoma" w:hAnsi="Tahoma" w:cs="Tahoma"/>
        </w:rPr>
        <w:t>Вајска</w:t>
      </w:r>
      <w:proofErr w:type="spellEnd"/>
      <w:r w:rsidRPr="00A303C3">
        <w:rPr>
          <w:rFonts w:ascii="Tahoma" w:hAnsi="Tahoma" w:cs="Tahoma"/>
        </w:rPr>
        <w:t xml:space="preserve"> се напаја преко 20</w:t>
      </w:r>
      <w:r w:rsidR="00A83910">
        <w:rPr>
          <w:rFonts w:ascii="Tahoma" w:hAnsi="Tahoma" w:cs="Tahoma"/>
          <w:lang w:val="sr-Latn-RS"/>
        </w:rPr>
        <w:t xml:space="preserve"> 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</w:t>
      </w:r>
      <w:proofErr w:type="spellStart"/>
      <w:r w:rsidRPr="00A303C3">
        <w:rPr>
          <w:rFonts w:ascii="Tahoma" w:hAnsi="Tahoma" w:cs="Tahoma"/>
        </w:rPr>
        <w:t>Вајска</w:t>
      </w:r>
      <w:proofErr w:type="spellEnd"/>
      <w:r w:rsidRPr="00A303C3">
        <w:rPr>
          <w:rFonts w:ascii="Tahoma" w:hAnsi="Tahoma" w:cs="Tahoma"/>
        </w:rPr>
        <w:t>'', а постоји веза за напајање преко 20</w:t>
      </w:r>
      <w:r w:rsidR="00A83910">
        <w:rPr>
          <w:rFonts w:ascii="Tahoma" w:hAnsi="Tahoma" w:cs="Tahoma"/>
          <w:lang w:val="sr-Latn-RS"/>
        </w:rPr>
        <w:t xml:space="preserve"> 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</w:t>
      </w:r>
      <w:proofErr w:type="spellStart"/>
      <w:r w:rsidRPr="00A303C3">
        <w:rPr>
          <w:rFonts w:ascii="Tahoma" w:hAnsi="Tahoma" w:cs="Tahoma"/>
        </w:rPr>
        <w:t>Дероње</w:t>
      </w:r>
      <w:proofErr w:type="spellEnd"/>
      <w:r w:rsidRPr="00A303C3">
        <w:rPr>
          <w:rFonts w:ascii="Tahoma" w:hAnsi="Tahoma" w:cs="Tahoma"/>
        </w:rPr>
        <w:t xml:space="preserve">'',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1'' и ''</w:t>
      </w:r>
      <w:proofErr w:type="spellStart"/>
      <w:r w:rsidRPr="00A303C3">
        <w:rPr>
          <w:rFonts w:ascii="Tahoma" w:hAnsi="Tahoma" w:cs="Tahoma"/>
        </w:rPr>
        <w:t>Каравуково</w:t>
      </w:r>
      <w:proofErr w:type="spellEnd"/>
      <w:r w:rsidRPr="00A303C3">
        <w:rPr>
          <w:rFonts w:ascii="Tahoma" w:hAnsi="Tahoma" w:cs="Tahoma"/>
        </w:rPr>
        <w:t xml:space="preserve">''. Насеље </w:t>
      </w:r>
      <w:proofErr w:type="spellStart"/>
      <w:r w:rsidRPr="00A303C3">
        <w:rPr>
          <w:rFonts w:ascii="Tahoma" w:hAnsi="Tahoma" w:cs="Tahoma"/>
        </w:rPr>
        <w:t>Бођани</w:t>
      </w:r>
      <w:proofErr w:type="spellEnd"/>
      <w:r w:rsidRPr="00A303C3">
        <w:rPr>
          <w:rFonts w:ascii="Tahoma" w:hAnsi="Tahoma" w:cs="Tahoma"/>
        </w:rPr>
        <w:t xml:space="preserve"> се напаја преко 20</w:t>
      </w:r>
      <w:r w:rsidR="00A83910">
        <w:rPr>
          <w:rFonts w:ascii="Tahoma" w:hAnsi="Tahoma" w:cs="Tahoma"/>
          <w:lang w:val="sr-Latn-RS"/>
        </w:rPr>
        <w:t xml:space="preserve"> 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„</w:t>
      </w:r>
      <w:proofErr w:type="spellStart"/>
      <w:r w:rsidRPr="00A303C3">
        <w:rPr>
          <w:rFonts w:ascii="Tahoma" w:hAnsi="Tahoma" w:cs="Tahoma"/>
        </w:rPr>
        <w:t>Вајска</w:t>
      </w:r>
      <w:proofErr w:type="spellEnd"/>
      <w:r w:rsidRPr="00A303C3">
        <w:rPr>
          <w:rFonts w:ascii="Tahoma" w:hAnsi="Tahoma" w:cs="Tahoma"/>
        </w:rPr>
        <w:t>“, а постоји веза за напајање преко 20</w:t>
      </w:r>
      <w:r w:rsidR="00A83910">
        <w:rPr>
          <w:rFonts w:ascii="Tahoma" w:hAnsi="Tahoma" w:cs="Tahoma"/>
          <w:lang w:val="sr-Latn-RS"/>
        </w:rPr>
        <w:t xml:space="preserve"> 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</w:t>
      </w:r>
      <w:proofErr w:type="spellStart"/>
      <w:r w:rsidRPr="00A303C3">
        <w:rPr>
          <w:rFonts w:ascii="Tahoma" w:hAnsi="Tahoma" w:cs="Tahoma"/>
        </w:rPr>
        <w:t>Дероње</w:t>
      </w:r>
      <w:proofErr w:type="spellEnd"/>
      <w:r w:rsidRPr="00A303C3">
        <w:rPr>
          <w:rFonts w:ascii="Tahoma" w:hAnsi="Tahoma" w:cs="Tahoma"/>
        </w:rPr>
        <w:t xml:space="preserve">'',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1'' и ''</w:t>
      </w:r>
      <w:proofErr w:type="spellStart"/>
      <w:r w:rsidRPr="00A303C3">
        <w:rPr>
          <w:rFonts w:ascii="Tahoma" w:hAnsi="Tahoma" w:cs="Tahoma"/>
        </w:rPr>
        <w:t>Каравуково</w:t>
      </w:r>
      <w:proofErr w:type="spellEnd"/>
      <w:r w:rsidRPr="00A303C3">
        <w:rPr>
          <w:rFonts w:ascii="Tahoma" w:hAnsi="Tahoma" w:cs="Tahoma"/>
        </w:rPr>
        <w:t xml:space="preserve">''. Насељено место </w:t>
      </w:r>
      <w:proofErr w:type="spellStart"/>
      <w:r w:rsidRPr="00A303C3">
        <w:rPr>
          <w:rFonts w:ascii="Tahoma" w:hAnsi="Tahoma" w:cs="Tahoma"/>
        </w:rPr>
        <w:t>Плавна</w:t>
      </w:r>
      <w:proofErr w:type="spellEnd"/>
      <w:r w:rsidRPr="00A303C3">
        <w:rPr>
          <w:rFonts w:ascii="Tahoma" w:hAnsi="Tahoma" w:cs="Tahoma"/>
        </w:rPr>
        <w:t xml:space="preserve"> се напаја преко 20</w:t>
      </w:r>
      <w:r w:rsidR="00A83910">
        <w:rPr>
          <w:rFonts w:ascii="Tahoma" w:hAnsi="Tahoma" w:cs="Tahoma"/>
          <w:lang w:val="sr-Latn-RS"/>
        </w:rPr>
        <w:t xml:space="preserve"> </w:t>
      </w:r>
      <w:proofErr w:type="spellStart"/>
      <w:r w:rsidR="00A83910">
        <w:rPr>
          <w:rFonts w:ascii="Tahoma" w:hAnsi="Tahoma" w:cs="Tahoma"/>
          <w:lang w:val="sr-Latn-RS"/>
        </w:rPr>
        <w:t>kV</w:t>
      </w:r>
      <w:proofErr w:type="spellEnd"/>
      <w:r w:rsidRPr="00A303C3">
        <w:rPr>
          <w:rFonts w:ascii="Tahoma" w:hAnsi="Tahoma" w:cs="Tahoma"/>
        </w:rPr>
        <w:t xml:space="preserve"> извода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1'', а постоји веза за напајање преко 20 </w:t>
      </w:r>
      <w:r w:rsidR="00A83910">
        <w:rPr>
          <w:rFonts w:ascii="Tahoma" w:hAnsi="Tahoma" w:cs="Tahoma"/>
          <w:lang w:val="sr-Latn-RS"/>
        </w:rPr>
        <w:t>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</w:t>
      </w:r>
      <w:proofErr w:type="spellStart"/>
      <w:r w:rsidRPr="00A303C3">
        <w:rPr>
          <w:rFonts w:ascii="Tahoma" w:hAnsi="Tahoma" w:cs="Tahoma"/>
        </w:rPr>
        <w:t>Вајска</w:t>
      </w:r>
      <w:proofErr w:type="spellEnd"/>
      <w:r w:rsidRPr="00A303C3">
        <w:rPr>
          <w:rFonts w:ascii="Tahoma" w:hAnsi="Tahoma" w:cs="Tahoma"/>
        </w:rPr>
        <w:t xml:space="preserve">''. Насеље </w:t>
      </w:r>
      <w:proofErr w:type="spellStart"/>
      <w:r w:rsidRPr="00A303C3">
        <w:rPr>
          <w:rFonts w:ascii="Tahoma" w:hAnsi="Tahoma" w:cs="Tahoma"/>
        </w:rPr>
        <w:t>Селенча</w:t>
      </w:r>
      <w:proofErr w:type="spellEnd"/>
      <w:r w:rsidRPr="00A303C3">
        <w:rPr>
          <w:rFonts w:ascii="Tahoma" w:hAnsi="Tahoma" w:cs="Tahoma"/>
        </w:rPr>
        <w:t xml:space="preserve"> се напаја преко 20 </w:t>
      </w:r>
      <w:r w:rsidR="00A83910">
        <w:rPr>
          <w:rFonts w:ascii="Tahoma" w:hAnsi="Tahoma" w:cs="Tahoma"/>
          <w:lang w:val="sr-Latn-RS"/>
        </w:rPr>
        <w:t>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2'', а постоји веза за напајање преко 20</w:t>
      </w:r>
      <w:r w:rsidR="00A83910">
        <w:rPr>
          <w:rFonts w:ascii="Tahoma" w:hAnsi="Tahoma" w:cs="Tahoma"/>
          <w:lang w:val="sr-Latn-RS"/>
        </w:rPr>
        <w:t xml:space="preserve"> 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1''. Насеље Бачко Ново Село се напаја преко 20 </w:t>
      </w:r>
      <w:r w:rsidR="00A83910">
        <w:rPr>
          <w:rFonts w:ascii="Tahoma" w:hAnsi="Tahoma" w:cs="Tahoma"/>
          <w:lang w:val="sr-Latn-RS"/>
        </w:rPr>
        <w:t>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''Веза </w:t>
      </w:r>
      <w:proofErr w:type="spellStart"/>
      <w:r w:rsidRPr="00A303C3">
        <w:rPr>
          <w:rFonts w:ascii="Tahoma" w:hAnsi="Tahoma" w:cs="Tahoma"/>
        </w:rPr>
        <w:t>Бач</w:t>
      </w:r>
      <w:proofErr w:type="spellEnd"/>
      <w:r w:rsidRPr="00A303C3">
        <w:rPr>
          <w:rFonts w:ascii="Tahoma" w:hAnsi="Tahoma" w:cs="Tahoma"/>
        </w:rPr>
        <w:t xml:space="preserve"> 1'', а постоји веза за напајање преко 20 </w:t>
      </w:r>
      <w:r w:rsidR="00A83910">
        <w:rPr>
          <w:rFonts w:ascii="Tahoma" w:hAnsi="Tahoma" w:cs="Tahoma"/>
          <w:lang w:val="sr-Latn-RS"/>
        </w:rPr>
        <w:t>k</w:t>
      </w:r>
      <w:r w:rsidR="00A83910" w:rsidRPr="00A303C3">
        <w:rPr>
          <w:rFonts w:ascii="Tahoma" w:hAnsi="Tahoma" w:cs="Tahoma"/>
        </w:rPr>
        <w:t>V</w:t>
      </w:r>
      <w:r w:rsidRPr="00A303C3">
        <w:rPr>
          <w:rFonts w:ascii="Tahoma" w:hAnsi="Tahoma" w:cs="Tahoma"/>
        </w:rPr>
        <w:t xml:space="preserve"> извода ''</w:t>
      </w:r>
      <w:proofErr w:type="spellStart"/>
      <w:r w:rsidRPr="00A303C3">
        <w:rPr>
          <w:rFonts w:ascii="Tahoma" w:hAnsi="Tahoma" w:cs="Tahoma"/>
        </w:rPr>
        <w:t>Вајска</w:t>
      </w:r>
      <w:proofErr w:type="spellEnd"/>
      <w:r w:rsidRPr="00A303C3">
        <w:rPr>
          <w:rFonts w:ascii="Tahoma" w:hAnsi="Tahoma" w:cs="Tahoma"/>
        </w:rPr>
        <w:t xml:space="preserve">''. </w:t>
      </w:r>
    </w:p>
    <w:p w14:paraId="4501465C" w14:textId="63E64D45" w:rsidR="00BF5855" w:rsidRPr="00A303C3" w:rsidRDefault="00A303C3" w:rsidP="00A303C3">
      <w:pPr>
        <w:spacing w:after="160" w:line="259" w:lineRule="auto"/>
        <w:rPr>
          <w:rFonts w:ascii="Tahoma" w:hAnsi="Tahoma" w:cs="Tahoma"/>
        </w:rPr>
      </w:pPr>
      <w:r w:rsidRPr="00A83910">
        <w:rPr>
          <w:rFonts w:ascii="Tahoma" w:hAnsi="Tahoma" w:cs="Tahoma"/>
          <w:b/>
          <w:bCs/>
          <w:color w:val="2F5496"/>
        </w:rPr>
        <w:t>Постојећи електроенергетски капацитети су под константним притиском растуће потрошње.</w:t>
      </w:r>
      <w:r w:rsidRPr="00A303C3">
        <w:rPr>
          <w:rFonts w:ascii="Tahoma" w:hAnsi="Tahoma" w:cs="Tahoma"/>
        </w:rPr>
        <w:t xml:space="preserve"> Примарна и секундарна мрежа доста добро покривају простор општине (</w:t>
      </w:r>
      <w:proofErr w:type="spellStart"/>
      <w:r w:rsidRPr="00A303C3">
        <w:rPr>
          <w:rFonts w:ascii="Tahoma" w:hAnsi="Tahoma" w:cs="Tahoma"/>
        </w:rPr>
        <w:t>нисконапонска</w:t>
      </w:r>
      <w:proofErr w:type="spellEnd"/>
      <w:r w:rsidRPr="00A303C3">
        <w:rPr>
          <w:rFonts w:ascii="Tahoma" w:hAnsi="Tahoma" w:cs="Tahoma"/>
        </w:rPr>
        <w:t xml:space="preserve"> мрежа је доступна у свим насељеним местима). Проблем представљају незадовољавајући капацитети и техничке карактеристике водова и дистрибутивних </w:t>
      </w:r>
      <w:proofErr w:type="spellStart"/>
      <w:r w:rsidRPr="00A303C3">
        <w:rPr>
          <w:rFonts w:ascii="Tahoma" w:hAnsi="Tahoma" w:cs="Tahoma"/>
        </w:rPr>
        <w:t>трафостаница</w:t>
      </w:r>
      <w:proofErr w:type="spellEnd"/>
      <w:r w:rsidRPr="00A303C3">
        <w:rPr>
          <w:rFonts w:ascii="Tahoma" w:hAnsi="Tahoma" w:cs="Tahoma"/>
        </w:rPr>
        <w:t>.</w:t>
      </w:r>
    </w:p>
    <w:p w14:paraId="3ECFB63F" w14:textId="77777777" w:rsidR="0098292F" w:rsidRPr="007B6EB1" w:rsidRDefault="0098292F" w:rsidP="007B6EB1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bookmarkStart w:id="3" w:name="_Toc17346463"/>
      <w:bookmarkStart w:id="4" w:name="_Toc18839101"/>
      <w:r w:rsidRPr="007B6EB1">
        <w:rPr>
          <w:rFonts w:ascii="Tahoma" w:hAnsi="Tahoma" w:cs="Tahoma"/>
          <w:b/>
          <w:bCs/>
          <w:sz w:val="28"/>
          <w:szCs w:val="28"/>
        </w:rPr>
        <w:t>Потрошња енергије у јавном сектору</w:t>
      </w:r>
      <w:bookmarkEnd w:id="3"/>
      <w:bookmarkEnd w:id="4"/>
    </w:p>
    <w:p w14:paraId="21F64A51" w14:textId="0D3A53AE" w:rsidR="004F7A2E" w:rsidRPr="00F20101" w:rsidRDefault="00253329" w:rsidP="0068332C">
      <w:pPr>
        <w:spacing w:after="160" w:line="259" w:lineRule="auto"/>
        <w:rPr>
          <w:rFonts w:ascii="Tahoma" w:hAnsi="Tahoma" w:cs="Tahoma"/>
          <w:color w:val="2F5496"/>
        </w:rPr>
      </w:pPr>
      <w:r w:rsidRPr="00F20101">
        <w:rPr>
          <w:rFonts w:ascii="Tahoma" w:hAnsi="Tahoma" w:cs="Tahoma"/>
          <w:b/>
          <w:bCs/>
          <w:color w:val="2F5496"/>
        </w:rPr>
        <w:t xml:space="preserve">Општина </w:t>
      </w:r>
      <w:proofErr w:type="spellStart"/>
      <w:r w:rsidR="000C7C61">
        <w:rPr>
          <w:rFonts w:ascii="Tahoma" w:hAnsi="Tahoma" w:cs="Tahoma"/>
          <w:b/>
          <w:bCs/>
          <w:color w:val="2F5496"/>
        </w:rPr>
        <w:t>Бач</w:t>
      </w:r>
      <w:proofErr w:type="spellEnd"/>
      <w:r w:rsidRPr="00F20101">
        <w:rPr>
          <w:rFonts w:ascii="Tahoma" w:hAnsi="Tahoma" w:cs="Tahoma"/>
          <w:b/>
          <w:bCs/>
          <w:color w:val="2F5496"/>
        </w:rPr>
        <w:t xml:space="preserve"> </w:t>
      </w:r>
      <w:r w:rsidR="00C95AF1" w:rsidRPr="00F20101">
        <w:rPr>
          <w:rFonts w:ascii="Tahoma" w:hAnsi="Tahoma" w:cs="Tahoma"/>
          <w:b/>
          <w:bCs/>
          <w:color w:val="2F5496"/>
        </w:rPr>
        <w:t>нема законску обавезу успостављања система енергетског менаџмента</w:t>
      </w:r>
      <w:r w:rsidR="00942EE1" w:rsidRPr="00F20101">
        <w:rPr>
          <w:rFonts w:ascii="Tahoma" w:hAnsi="Tahoma" w:cs="Tahoma"/>
          <w:b/>
          <w:bCs/>
          <w:color w:val="2F5496"/>
        </w:rPr>
        <w:t>.</w:t>
      </w:r>
    </w:p>
    <w:p w14:paraId="6B2534D1" w14:textId="046DE089" w:rsidR="004F7A2E" w:rsidRDefault="004F7A2E" w:rsidP="0068332C">
      <w:pPr>
        <w:spacing w:after="160" w:line="259" w:lineRule="auto"/>
        <w:rPr>
          <w:rFonts w:ascii="Tahoma" w:hAnsi="Tahoma" w:cs="Tahoma"/>
        </w:rPr>
      </w:pPr>
      <w:r w:rsidRPr="00F47A45">
        <w:rPr>
          <w:rFonts w:ascii="Tahoma" w:hAnsi="Tahoma" w:cs="Tahoma"/>
        </w:rPr>
        <w:t xml:space="preserve">На основу података о јавним набавкама могуће је делимично реконструисати биланс потрошње електричне енергије у јавном сектору у општини </w:t>
      </w:r>
      <w:proofErr w:type="spellStart"/>
      <w:r w:rsidR="009930AB">
        <w:rPr>
          <w:rFonts w:ascii="Tahoma" w:hAnsi="Tahoma" w:cs="Tahoma"/>
        </w:rPr>
        <w:t>Бач</w:t>
      </w:r>
      <w:proofErr w:type="spellEnd"/>
      <w:r w:rsidRPr="00F47A45">
        <w:rPr>
          <w:rFonts w:ascii="Tahoma" w:hAnsi="Tahoma" w:cs="Tahoma"/>
        </w:rPr>
        <w:t>.</w:t>
      </w:r>
    </w:p>
    <w:p w14:paraId="66A350FD" w14:textId="77777777" w:rsidR="0068332C" w:rsidRPr="0068332C" w:rsidRDefault="0068332C" w:rsidP="0068332C">
      <w:pPr>
        <w:spacing w:line="259" w:lineRule="auto"/>
        <w:rPr>
          <w:rFonts w:ascii="Tahoma" w:hAnsi="Tahoma" w:cs="Tahoma"/>
          <w:sz w:val="10"/>
          <w:szCs w:val="10"/>
        </w:rPr>
      </w:pPr>
    </w:p>
    <w:p w14:paraId="3EAA2271" w14:textId="77777777" w:rsidR="00EA2AF2" w:rsidRDefault="00EA2AF2" w:rsidP="0068332C">
      <w:pPr>
        <w:pStyle w:val="Caption"/>
        <w:spacing w:after="80" w:line="259" w:lineRule="auto"/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</w:pPr>
    </w:p>
    <w:p w14:paraId="000D8E68" w14:textId="33C599CD" w:rsidR="0098292F" w:rsidRPr="00F20101" w:rsidRDefault="0098292F" w:rsidP="0068332C">
      <w:pPr>
        <w:pStyle w:val="Caption"/>
        <w:spacing w:after="80" w:line="259" w:lineRule="auto"/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</w:pP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lastRenderedPageBreak/>
        <w:t xml:space="preserve">Табела </w:t>
      </w:r>
      <w:r w:rsidR="00C43700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3</w:t>
      </w:r>
      <w:r w:rsid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.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 </w:t>
      </w:r>
      <w:r w:rsidR="00215612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Б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илан</w:t>
      </w:r>
      <w:r w:rsidR="00EA513C"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с електричне енергије 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јавног сектора</w:t>
      </w:r>
      <w:r w:rsidR="00EA513C"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 у општини </w:t>
      </w:r>
      <w:proofErr w:type="spellStart"/>
      <w:r w:rsidR="00215612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Бач</w:t>
      </w:r>
      <w:proofErr w:type="spellEnd"/>
    </w:p>
    <w:tbl>
      <w:tblPr>
        <w:tblStyle w:val="GridTable5Dark-Accent51"/>
        <w:tblW w:w="6658" w:type="dxa"/>
        <w:tblLook w:val="04A0" w:firstRow="1" w:lastRow="0" w:firstColumn="1" w:lastColumn="0" w:noHBand="0" w:noVBand="1"/>
      </w:tblPr>
      <w:tblGrid>
        <w:gridCol w:w="3823"/>
        <w:gridCol w:w="2835"/>
      </w:tblGrid>
      <w:tr w:rsidR="007B3543" w:rsidRPr="000B6DBE" w14:paraId="06C94769" w14:textId="77777777" w:rsidTr="007B3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2F5496" w:themeFill="accent1" w:themeFillShade="BF"/>
          </w:tcPr>
          <w:p w14:paraId="543C5582" w14:textId="77777777" w:rsidR="007B3543" w:rsidRPr="00AF5513" w:rsidRDefault="007B3543" w:rsidP="00D23BD1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2F5496" w:themeFill="accent1" w:themeFillShade="BF"/>
          </w:tcPr>
          <w:p w14:paraId="29A93492" w14:textId="46517237" w:rsidR="007B3543" w:rsidRPr="00AF5513" w:rsidRDefault="007B3543" w:rsidP="00D23B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 w:rsidRPr="007B3543">
              <w:rPr>
                <w:rFonts w:ascii="Tahoma" w:hAnsi="Tahoma" w:cs="Tahoma"/>
                <w:sz w:val="21"/>
                <w:szCs w:val="21"/>
              </w:rPr>
              <w:t xml:space="preserve">Укупна потрошња </w:t>
            </w:r>
            <w:proofErr w:type="spellStart"/>
            <w:r w:rsidRPr="007B3543">
              <w:rPr>
                <w:rFonts w:ascii="Tahoma" w:hAnsi="Tahoma" w:cs="Tahoma"/>
                <w:sz w:val="21"/>
                <w:szCs w:val="21"/>
              </w:rPr>
              <w:t>KWh</w:t>
            </w:r>
            <w:proofErr w:type="spellEnd"/>
          </w:p>
        </w:tc>
      </w:tr>
      <w:tr w:rsidR="007B3543" w:rsidRPr="000B6DBE" w14:paraId="3E7FFCB0" w14:textId="77777777" w:rsidTr="007B3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D9E2F3" w:themeFill="accent1" w:themeFillTint="33"/>
          </w:tcPr>
          <w:p w14:paraId="72C54DE0" w14:textId="7560E011" w:rsidR="007B3543" w:rsidRPr="007B3543" w:rsidRDefault="007B3543" w:rsidP="007B3543">
            <w:pP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7B3543"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Јавни објекти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16497633" w14:textId="6F22D6BD" w:rsidR="007B3543" w:rsidRPr="007B3543" w:rsidRDefault="007B3543" w:rsidP="007B354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7B3543">
              <w:rPr>
                <w:rFonts w:ascii="Tahoma" w:hAnsi="Tahoma" w:cs="Tahoma"/>
                <w:sz w:val="21"/>
                <w:szCs w:val="21"/>
              </w:rPr>
              <w:t>1</w:t>
            </w:r>
            <w:r w:rsidR="003F108D">
              <w:rPr>
                <w:rFonts w:ascii="Tahoma" w:hAnsi="Tahoma" w:cs="Tahoma"/>
                <w:sz w:val="21"/>
                <w:szCs w:val="21"/>
              </w:rPr>
              <w:t>68</w:t>
            </w:r>
            <w:r>
              <w:rPr>
                <w:rFonts w:ascii="Tahoma" w:hAnsi="Tahoma" w:cs="Tahoma"/>
                <w:sz w:val="21"/>
                <w:szCs w:val="21"/>
              </w:rPr>
              <w:t>.</w:t>
            </w:r>
            <w:r w:rsidRPr="007B3543">
              <w:rPr>
                <w:rFonts w:ascii="Tahoma" w:hAnsi="Tahoma" w:cs="Tahoma"/>
                <w:sz w:val="21"/>
                <w:szCs w:val="21"/>
              </w:rPr>
              <w:t>000</w:t>
            </w:r>
          </w:p>
        </w:tc>
      </w:tr>
      <w:tr w:rsidR="007B3543" w:rsidRPr="000B6DBE" w14:paraId="0AD7E999" w14:textId="77777777" w:rsidTr="007B3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B4C6E7" w:themeFill="accent1" w:themeFillTint="66"/>
          </w:tcPr>
          <w:p w14:paraId="4F0DC33A" w14:textId="092D82B3" w:rsidR="007B3543" w:rsidRPr="007B3543" w:rsidRDefault="007B3543" w:rsidP="007B3543">
            <w:pP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7B3543"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Јавна расвета</w:t>
            </w:r>
          </w:p>
        </w:tc>
        <w:tc>
          <w:tcPr>
            <w:tcW w:w="2835" w:type="dxa"/>
            <w:shd w:val="clear" w:color="auto" w:fill="B4C6E7" w:themeFill="accent1" w:themeFillTint="66"/>
          </w:tcPr>
          <w:p w14:paraId="5E07795C" w14:textId="63A10AD8" w:rsidR="007B3543" w:rsidRPr="007B3543" w:rsidRDefault="007B3543" w:rsidP="007B354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7B3543">
              <w:rPr>
                <w:rFonts w:ascii="Tahoma" w:hAnsi="Tahoma" w:cs="Tahoma"/>
                <w:sz w:val="21"/>
                <w:szCs w:val="21"/>
              </w:rPr>
              <w:t>750</w:t>
            </w:r>
            <w:r>
              <w:rPr>
                <w:rFonts w:ascii="Tahoma" w:hAnsi="Tahoma" w:cs="Tahoma"/>
                <w:sz w:val="21"/>
                <w:szCs w:val="21"/>
              </w:rPr>
              <w:t>.</w:t>
            </w:r>
            <w:r w:rsidRPr="007B3543">
              <w:rPr>
                <w:rFonts w:ascii="Tahoma" w:hAnsi="Tahoma" w:cs="Tahoma"/>
                <w:sz w:val="21"/>
                <w:szCs w:val="21"/>
              </w:rPr>
              <w:t>000</w:t>
            </w:r>
          </w:p>
        </w:tc>
      </w:tr>
    </w:tbl>
    <w:p w14:paraId="5B110FEE" w14:textId="43B6AF8C" w:rsidR="007B3543" w:rsidRPr="00215612" w:rsidRDefault="00215612" w:rsidP="007B3543">
      <w:pPr>
        <w:spacing w:after="160" w:line="259" w:lineRule="auto"/>
        <w:rPr>
          <w:rFonts w:ascii="Tahoma" w:hAnsi="Tahoma" w:cs="Tahoma"/>
          <w:sz w:val="18"/>
          <w:szCs w:val="18"/>
        </w:rPr>
      </w:pPr>
      <w:r w:rsidRPr="00215612">
        <w:rPr>
          <w:rFonts w:ascii="Tahoma" w:hAnsi="Tahoma" w:cs="Tahoma"/>
          <w:sz w:val="18"/>
          <w:szCs w:val="18"/>
        </w:rPr>
        <w:t>Извор</w:t>
      </w:r>
      <w:r>
        <w:rPr>
          <w:rFonts w:ascii="Tahoma" w:hAnsi="Tahoma" w:cs="Tahoma"/>
          <w:sz w:val="18"/>
          <w:szCs w:val="18"/>
        </w:rPr>
        <w:t>: извештај о јавним набавкама</w:t>
      </w:r>
    </w:p>
    <w:p w14:paraId="2EC343C7" w14:textId="77777777" w:rsidR="00215612" w:rsidRPr="007B3543" w:rsidRDefault="00215612" w:rsidP="00340634">
      <w:pPr>
        <w:spacing w:line="259" w:lineRule="auto"/>
        <w:rPr>
          <w:rFonts w:ascii="Tahoma" w:hAnsi="Tahoma" w:cs="Tahoma"/>
          <w:sz w:val="10"/>
          <w:szCs w:val="10"/>
        </w:rPr>
      </w:pPr>
    </w:p>
    <w:p w14:paraId="74152C48" w14:textId="0BA49BAD" w:rsidR="00340634" w:rsidRPr="00340634" w:rsidRDefault="00340634" w:rsidP="0034063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Године </w:t>
      </w:r>
      <w:r w:rsidRPr="00340634">
        <w:rPr>
          <w:rFonts w:ascii="Tahoma" w:hAnsi="Tahoma" w:cs="Tahoma"/>
        </w:rPr>
        <w:t>2014</w:t>
      </w:r>
      <w:r>
        <w:rPr>
          <w:rFonts w:ascii="Tahoma" w:hAnsi="Tahoma" w:cs="Tahoma"/>
        </w:rPr>
        <w:t>,</w:t>
      </w:r>
      <w:r w:rsidRPr="00340634">
        <w:rPr>
          <w:rFonts w:ascii="Tahoma" w:hAnsi="Tahoma" w:cs="Tahoma"/>
        </w:rPr>
        <w:t xml:space="preserve"> рађена </w:t>
      </w:r>
      <w:r>
        <w:rPr>
          <w:rFonts w:ascii="Tahoma" w:hAnsi="Tahoma" w:cs="Tahoma"/>
        </w:rPr>
        <w:t xml:space="preserve">је </w:t>
      </w:r>
      <w:r w:rsidRPr="00340634">
        <w:rPr>
          <w:rFonts w:ascii="Tahoma" w:hAnsi="Tahoma" w:cs="Tahoma"/>
        </w:rPr>
        <w:t xml:space="preserve">енергетска процена општине </w:t>
      </w:r>
      <w:proofErr w:type="spellStart"/>
      <w:r w:rsidRPr="00340634">
        <w:rPr>
          <w:rFonts w:ascii="Tahoma" w:hAnsi="Tahoma" w:cs="Tahoma"/>
        </w:rPr>
        <w:t>Бач</w:t>
      </w:r>
      <w:proofErr w:type="spellEnd"/>
      <w:r w:rsidRPr="00340634">
        <w:rPr>
          <w:rFonts w:ascii="Tahoma" w:hAnsi="Tahoma" w:cs="Tahoma"/>
        </w:rPr>
        <w:t>. Том приликом је установљено да су 100% сијалица у систему јавне расвете натријумски извори високог притиска. Ова врста извора спада у ефикасне изворе и по својој ефикасности конкурише ЛЕД изворима иако по неким другим параметрима заостаје за њима.</w:t>
      </w:r>
    </w:p>
    <w:p w14:paraId="6B50B952" w14:textId="2ACD6323" w:rsidR="00340634" w:rsidRPr="00340634" w:rsidRDefault="002C1C45" w:rsidP="0034063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Године </w:t>
      </w:r>
      <w:r w:rsidR="00340634" w:rsidRPr="00340634">
        <w:rPr>
          <w:rFonts w:ascii="Tahoma" w:hAnsi="Tahoma" w:cs="Tahoma"/>
        </w:rPr>
        <w:t>2019</w:t>
      </w:r>
      <w:r>
        <w:rPr>
          <w:rFonts w:ascii="Tahoma" w:hAnsi="Tahoma" w:cs="Tahoma"/>
        </w:rPr>
        <w:t xml:space="preserve">, </w:t>
      </w:r>
      <w:r w:rsidR="00340634" w:rsidRPr="00340634">
        <w:rPr>
          <w:rFonts w:ascii="Tahoma" w:hAnsi="Tahoma" w:cs="Tahoma"/>
        </w:rPr>
        <w:t xml:space="preserve">планирано </w:t>
      </w:r>
      <w:r>
        <w:rPr>
          <w:rFonts w:ascii="Tahoma" w:hAnsi="Tahoma" w:cs="Tahoma"/>
        </w:rPr>
        <w:t xml:space="preserve">је </w:t>
      </w:r>
      <w:r w:rsidR="00340634" w:rsidRPr="00340634">
        <w:rPr>
          <w:rFonts w:ascii="Tahoma" w:hAnsi="Tahoma" w:cs="Tahoma"/>
        </w:rPr>
        <w:t xml:space="preserve">и буџетирано проширење система јавне расвете на радну зону у Бачу које је у програмском буџету </w:t>
      </w:r>
      <w:r>
        <w:rPr>
          <w:rFonts w:ascii="Tahoma" w:hAnsi="Tahoma" w:cs="Tahoma"/>
        </w:rPr>
        <w:t>обухваћено</w:t>
      </w:r>
      <w:r w:rsidR="00340634" w:rsidRPr="00340634">
        <w:rPr>
          <w:rFonts w:ascii="Tahoma" w:hAnsi="Tahoma" w:cs="Tahoma"/>
        </w:rPr>
        <w:t xml:space="preserve"> у програму 17.</w:t>
      </w:r>
    </w:p>
    <w:p w14:paraId="2DAF6B3D" w14:textId="4F8EA84F" w:rsidR="00340634" w:rsidRPr="00340634" w:rsidRDefault="00340634" w:rsidP="00340634">
      <w:pPr>
        <w:spacing w:after="160" w:line="259" w:lineRule="auto"/>
        <w:rPr>
          <w:rFonts w:ascii="Tahoma" w:hAnsi="Tahoma" w:cs="Tahoma"/>
        </w:rPr>
      </w:pPr>
      <w:r w:rsidRPr="00340634">
        <w:rPr>
          <w:rFonts w:ascii="Tahoma" w:hAnsi="Tahoma" w:cs="Tahoma"/>
        </w:rPr>
        <w:t xml:space="preserve">Према Одлуци о буџету општине </w:t>
      </w:r>
      <w:proofErr w:type="spellStart"/>
      <w:r w:rsidRPr="00340634">
        <w:rPr>
          <w:rFonts w:ascii="Tahoma" w:hAnsi="Tahoma" w:cs="Tahoma"/>
        </w:rPr>
        <w:t>Бач</w:t>
      </w:r>
      <w:proofErr w:type="spellEnd"/>
      <w:r w:rsidRPr="00340634">
        <w:rPr>
          <w:rFonts w:ascii="Tahoma" w:hAnsi="Tahoma" w:cs="Tahoma"/>
        </w:rPr>
        <w:t xml:space="preserve"> за 2021. годину општина не планира капиталне инвестиције у овој области.</w:t>
      </w:r>
    </w:p>
    <w:p w14:paraId="26324D74" w14:textId="77777777" w:rsidR="007B3543" w:rsidRPr="007B3543" w:rsidRDefault="007B3543" w:rsidP="007B3543">
      <w:pPr>
        <w:spacing w:line="259" w:lineRule="auto"/>
        <w:rPr>
          <w:rFonts w:ascii="Tahoma" w:hAnsi="Tahoma" w:cs="Tahoma"/>
          <w:sz w:val="10"/>
          <w:szCs w:val="10"/>
        </w:rPr>
      </w:pPr>
    </w:p>
    <w:p w14:paraId="38A70408" w14:textId="0BAD64A1" w:rsidR="00FE6E0E" w:rsidRPr="00F20101" w:rsidRDefault="00A05185" w:rsidP="00412308">
      <w:pPr>
        <w:spacing w:after="80" w:line="259" w:lineRule="auto"/>
        <w:jc w:val="left"/>
        <w:rPr>
          <w:rFonts w:ascii="Tahoma" w:hAnsi="Tahoma" w:cs="Tahoma"/>
          <w:color w:val="2F5496"/>
        </w:rPr>
      </w:pPr>
      <w:r w:rsidRPr="00F20101">
        <w:rPr>
          <w:rFonts w:ascii="Tahoma" w:hAnsi="Tahoma" w:cs="Tahoma"/>
          <w:color w:val="2F5496"/>
        </w:rPr>
        <w:t>Графикон 9</w:t>
      </w:r>
      <w:r w:rsidR="008E5E48" w:rsidRPr="00F20101">
        <w:rPr>
          <w:rFonts w:ascii="Tahoma" w:hAnsi="Tahoma" w:cs="Tahoma"/>
          <w:color w:val="2F5496"/>
        </w:rPr>
        <w:t>.</w:t>
      </w:r>
      <w:r w:rsidRPr="00F20101">
        <w:rPr>
          <w:rFonts w:ascii="Tahoma" w:hAnsi="Tahoma" w:cs="Tahoma"/>
          <w:color w:val="2F5496"/>
        </w:rPr>
        <w:t xml:space="preserve"> </w:t>
      </w:r>
      <w:r w:rsidR="0045105E">
        <w:rPr>
          <w:rFonts w:ascii="Tahoma" w:hAnsi="Tahoma" w:cs="Tahoma"/>
          <w:color w:val="2F5496"/>
        </w:rPr>
        <w:t>Трошкови</w:t>
      </w:r>
      <w:r w:rsidRPr="00F20101">
        <w:rPr>
          <w:rFonts w:ascii="Tahoma" w:hAnsi="Tahoma" w:cs="Tahoma"/>
          <w:color w:val="2F5496"/>
        </w:rPr>
        <w:t xml:space="preserve"> буџета</w:t>
      </w:r>
      <w:r w:rsidR="00B169E5">
        <w:rPr>
          <w:rFonts w:ascii="Tahoma" w:hAnsi="Tahoma" w:cs="Tahoma"/>
          <w:color w:val="2F5496"/>
        </w:rPr>
        <w:t xml:space="preserve"> </w:t>
      </w:r>
      <w:r w:rsidR="0045105E">
        <w:rPr>
          <w:rFonts w:ascii="Tahoma" w:hAnsi="Tahoma" w:cs="Tahoma"/>
          <w:color w:val="2F5496"/>
        </w:rPr>
        <w:t xml:space="preserve">за јавно осветљење </w:t>
      </w:r>
      <w:r w:rsidR="00B169E5">
        <w:rPr>
          <w:rFonts w:ascii="Tahoma" w:hAnsi="Tahoma" w:cs="Tahoma"/>
          <w:color w:val="2F5496"/>
        </w:rPr>
        <w:t>(% укупних расхода буџета), за период 2015-2020.</w:t>
      </w:r>
    </w:p>
    <w:p w14:paraId="6EE70BAF" w14:textId="6701CA4B" w:rsidR="00253329" w:rsidRPr="00F47A45" w:rsidRDefault="0018400D" w:rsidP="00F02937">
      <w:pPr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4ABA945C" wp14:editId="4DE5692F">
            <wp:extent cx="4314825" cy="2257425"/>
            <wp:effectExtent l="0" t="0" r="9525" b="9525"/>
            <wp:docPr id="14" name="Chart 14">
              <a:extLst xmlns:a="http://schemas.openxmlformats.org/drawingml/2006/main">
                <a:ext uri="{FF2B5EF4-FFF2-40B4-BE49-F238E27FC236}">
                  <a16:creationId xmlns:a16="http://schemas.microsoft.com/office/drawing/2014/main" id="{3601A703-A801-41AD-B50F-2953E2A5E6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3AFBC14" w14:textId="29714F30" w:rsidR="0098292F" w:rsidRPr="00755347" w:rsidRDefault="0003305F" w:rsidP="00412308">
      <w:pPr>
        <w:spacing w:after="80" w:line="259" w:lineRule="auto"/>
        <w:rPr>
          <w:rFonts w:ascii="Tahoma" w:hAnsi="Tahoma" w:cs="Tahoma"/>
          <w:sz w:val="18"/>
          <w:szCs w:val="18"/>
        </w:rPr>
      </w:pPr>
      <w:r w:rsidRPr="00E10BC1">
        <w:rPr>
          <w:rFonts w:ascii="Tahoma" w:hAnsi="Tahoma" w:cs="Tahoma"/>
          <w:sz w:val="18"/>
          <w:szCs w:val="18"/>
        </w:rPr>
        <w:t xml:space="preserve">Извор: </w:t>
      </w:r>
      <w:r w:rsidR="00DE2B04">
        <w:rPr>
          <w:rFonts w:ascii="Tahoma" w:hAnsi="Tahoma" w:cs="Tahoma"/>
          <w:sz w:val="18"/>
          <w:szCs w:val="18"/>
        </w:rPr>
        <w:t xml:space="preserve">Општина </w:t>
      </w:r>
      <w:proofErr w:type="spellStart"/>
      <w:r w:rsidR="00DE2B04">
        <w:rPr>
          <w:rFonts w:ascii="Tahoma" w:hAnsi="Tahoma" w:cs="Tahoma"/>
          <w:sz w:val="18"/>
          <w:szCs w:val="18"/>
        </w:rPr>
        <w:t>Бач</w:t>
      </w:r>
      <w:proofErr w:type="spellEnd"/>
      <w:r w:rsidR="00300E81">
        <w:rPr>
          <w:rFonts w:ascii="Tahoma" w:hAnsi="Tahoma" w:cs="Tahoma"/>
          <w:sz w:val="18"/>
          <w:szCs w:val="18"/>
        </w:rPr>
        <w:t>.</w:t>
      </w:r>
    </w:p>
    <w:p w14:paraId="611A0B1E" w14:textId="0AB7D7CD" w:rsidR="00056161" w:rsidRDefault="00056161">
      <w:pPr>
        <w:jc w:val="left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sz w:val="10"/>
          <w:szCs w:val="10"/>
        </w:rPr>
        <w:br w:type="page"/>
      </w:r>
    </w:p>
    <w:p w14:paraId="2FD0007A" w14:textId="06DF48B6" w:rsidR="004F7A2E" w:rsidRPr="00A748B5" w:rsidRDefault="004F7A2E" w:rsidP="00A748B5">
      <w:pPr>
        <w:pStyle w:val="Heading1"/>
        <w:spacing w:after="160" w:line="259" w:lineRule="auto"/>
        <w:rPr>
          <w:rFonts w:ascii="Tahoma" w:hAnsi="Tahoma" w:cs="Tahoma"/>
          <w:b/>
          <w:bCs/>
          <w:sz w:val="28"/>
          <w:szCs w:val="28"/>
        </w:rPr>
      </w:pPr>
      <w:bookmarkStart w:id="5" w:name="_Toc17346462"/>
      <w:bookmarkStart w:id="6" w:name="_Toc18839100"/>
      <w:r w:rsidRPr="00A748B5">
        <w:rPr>
          <w:rFonts w:ascii="Tahoma" w:hAnsi="Tahoma" w:cs="Tahoma"/>
          <w:b/>
          <w:bCs/>
          <w:sz w:val="28"/>
          <w:szCs w:val="28"/>
        </w:rPr>
        <w:lastRenderedPageBreak/>
        <w:t>Грејање становништва</w:t>
      </w:r>
      <w:bookmarkEnd w:id="5"/>
      <w:bookmarkEnd w:id="6"/>
    </w:p>
    <w:p w14:paraId="59AF23E2" w14:textId="77777777" w:rsidR="004F7A2E" w:rsidRPr="00F703EE" w:rsidRDefault="004F7A2E" w:rsidP="00F703EE">
      <w:pPr>
        <w:spacing w:line="259" w:lineRule="auto"/>
        <w:rPr>
          <w:rFonts w:ascii="Tahoma" w:hAnsi="Tahoma" w:cs="Tahoma"/>
          <w:sz w:val="10"/>
          <w:szCs w:val="10"/>
        </w:rPr>
      </w:pPr>
    </w:p>
    <w:p w14:paraId="2F006D98" w14:textId="01E0B93B" w:rsidR="004F7A2E" w:rsidRDefault="004F7A2E" w:rsidP="00946A59">
      <w:pPr>
        <w:pStyle w:val="Caption"/>
        <w:spacing w:after="80" w:line="259" w:lineRule="auto"/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</w:pPr>
      <w:r w:rsidRPr="00946A59">
        <w:rPr>
          <w:rFonts w:ascii="Tahoma" w:hAnsi="Tahoma" w:cs="Tahoma"/>
          <w:i w:val="0"/>
          <w:iCs w:val="0"/>
          <w:color w:val="2F5496" w:themeColor="accent1" w:themeShade="BF"/>
          <w:sz w:val="22"/>
          <w:szCs w:val="22"/>
          <w:lang w:val="sr-Cyrl-RS"/>
        </w:rPr>
        <w:t>Т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абела 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fldChar w:fldCharType="begin"/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instrText xml:space="preserve"> SEQ Табела \* ARABIC </w:instrTex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fldChar w:fldCharType="separate"/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3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fldChar w:fldCharType="end"/>
      </w:r>
      <w:r w:rsidR="00946A59"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.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 Начин грејања становништва </w:t>
      </w:r>
      <w:r w:rsidR="00EC5959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општине </w:t>
      </w:r>
      <w:proofErr w:type="spellStart"/>
      <w:r w:rsidR="00EC5959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Бач</w:t>
      </w:r>
      <w:proofErr w:type="spellEnd"/>
      <w:r w:rsidR="00EC5959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>,</w:t>
      </w:r>
      <w:r w:rsidRPr="00F20101">
        <w:rPr>
          <w:rFonts w:ascii="Tahoma" w:hAnsi="Tahoma" w:cs="Tahoma"/>
          <w:i w:val="0"/>
          <w:iCs w:val="0"/>
          <w:color w:val="2F5496"/>
          <w:sz w:val="22"/>
          <w:szCs w:val="22"/>
          <w:lang w:val="sr-Cyrl-RS"/>
        </w:rPr>
        <w:t xml:space="preserve"> у 2011. </w:t>
      </w:r>
    </w:p>
    <w:tbl>
      <w:tblPr>
        <w:tblStyle w:val="GridTable5Dark-Accent51"/>
        <w:tblW w:w="6799" w:type="dxa"/>
        <w:tblLook w:val="04A0" w:firstRow="1" w:lastRow="0" w:firstColumn="1" w:lastColumn="0" w:noHBand="0" w:noVBand="1"/>
      </w:tblPr>
      <w:tblGrid>
        <w:gridCol w:w="3256"/>
        <w:gridCol w:w="1701"/>
        <w:gridCol w:w="1842"/>
      </w:tblGrid>
      <w:tr w:rsidR="00DD7479" w:rsidRPr="000B6DBE" w14:paraId="3B562B5B" w14:textId="77777777" w:rsidTr="008E29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2F5496" w:themeFill="accent1" w:themeFillShade="BF"/>
          </w:tcPr>
          <w:p w14:paraId="5432A175" w14:textId="77777777" w:rsidR="00DD7479" w:rsidRPr="00AF5513" w:rsidRDefault="00DD7479" w:rsidP="00D23BD1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right w:val="single" w:sz="4" w:space="0" w:color="FFFFFF" w:themeColor="background1"/>
            </w:tcBorders>
            <w:shd w:val="clear" w:color="auto" w:fill="2F5496" w:themeFill="accent1" w:themeFillShade="BF"/>
          </w:tcPr>
          <w:p w14:paraId="3568F91F" w14:textId="77777777" w:rsidR="00DD7479" w:rsidRPr="00AF5513" w:rsidRDefault="00DD7479" w:rsidP="00D23B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Број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shd w:val="clear" w:color="auto" w:fill="2F5496" w:themeFill="accent1" w:themeFillShade="BF"/>
          </w:tcPr>
          <w:p w14:paraId="1729D828" w14:textId="77777777" w:rsidR="00DD7479" w:rsidRPr="00AF5513" w:rsidRDefault="00DD7479" w:rsidP="00D23B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Удео</w:t>
            </w:r>
          </w:p>
        </w:tc>
      </w:tr>
      <w:tr w:rsidR="00DD7479" w:rsidRPr="000B6DBE" w14:paraId="25256CD8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9E2F3" w:themeFill="accent1" w:themeFillTint="33"/>
          </w:tcPr>
          <w:p w14:paraId="73CA1E11" w14:textId="77777777" w:rsidR="00DD7479" w:rsidRPr="00B56714" w:rsidRDefault="00DD7479" w:rsidP="00D23BD1">
            <w:pPr>
              <w:rPr>
                <w:rFonts w:ascii="Tahoma" w:hAnsi="Tahoma" w:cs="Tahoma"/>
                <w:b w:val="0"/>
                <w:bCs w:val="0"/>
                <w:color w:val="1F3864" w:themeColor="accent1" w:themeShade="80"/>
                <w:sz w:val="21"/>
                <w:szCs w:val="21"/>
              </w:rPr>
            </w:pPr>
            <w: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 xml:space="preserve">Станови </w:t>
            </w:r>
            <w:r>
              <w:rPr>
                <w:rFonts w:ascii="Tahoma" w:hAnsi="Tahoma" w:cs="Tahoma"/>
                <w:b w:val="0"/>
                <w:bCs w:val="0"/>
                <w:color w:val="1F3864" w:themeColor="accent1" w:themeShade="80"/>
                <w:sz w:val="21"/>
                <w:szCs w:val="21"/>
              </w:rPr>
              <w:t>(настањени)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BF0747A" w14:textId="27E9AD8B" w:rsidR="00DD7479" w:rsidRPr="008E29BC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</w:pPr>
            <w:r w:rsidRPr="008E29BC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5.</w:t>
            </w:r>
            <w:r w:rsidR="0026758E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153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42B1415D" w14:textId="77777777" w:rsidR="00DD7479" w:rsidRPr="008E29BC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</w:pPr>
            <w:r w:rsidRPr="008E29BC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100%</w:t>
            </w:r>
          </w:p>
        </w:tc>
      </w:tr>
      <w:tr w:rsidR="00DD7479" w:rsidRPr="000B6DBE" w14:paraId="537E70AC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9E2F3" w:themeFill="accent1" w:themeFillTint="33"/>
          </w:tcPr>
          <w:p w14:paraId="12412884" w14:textId="77777777" w:rsidR="00DD7479" w:rsidRPr="00384F0C" w:rsidRDefault="00DD7479" w:rsidP="00D23BD1">
            <w:pPr>
              <w:rPr>
                <w:rFonts w:ascii="Tahoma" w:hAnsi="Tahoma" w:cs="Tahoma"/>
                <w:b w:val="0"/>
                <w:bCs w:val="0"/>
                <w:color w:val="1F3864" w:themeColor="accent1" w:themeShade="80"/>
                <w:sz w:val="21"/>
                <w:szCs w:val="21"/>
              </w:rPr>
            </w:pPr>
            <w: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 xml:space="preserve">Етажно </w:t>
            </w:r>
            <w:r>
              <w:rPr>
                <w:rFonts w:ascii="Tahoma" w:hAnsi="Tahoma" w:cs="Tahoma"/>
                <w:b w:val="0"/>
                <w:bCs w:val="0"/>
                <w:color w:val="1F3864" w:themeColor="accent1" w:themeShade="80"/>
                <w:sz w:val="21"/>
                <w:szCs w:val="21"/>
              </w:rPr>
              <w:t>(укупно)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68BC1A6E" w14:textId="52F4B74F" w:rsidR="00DD7479" w:rsidRPr="00AF5513" w:rsidRDefault="0026758E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</w:rPr>
              <w:t>901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134EDCEF" w14:textId="72922926" w:rsidR="00DD7479" w:rsidRPr="00AF5513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</w:rPr>
              <w:t>1</w:t>
            </w:r>
            <w:r w:rsidR="0026758E">
              <w:rPr>
                <w:rFonts w:ascii="Tahoma" w:hAnsi="Tahoma" w:cs="Tahoma"/>
                <w:color w:val="333333"/>
                <w:sz w:val="21"/>
                <w:szCs w:val="21"/>
              </w:rPr>
              <w:t>7</w:t>
            </w:r>
            <w:r>
              <w:rPr>
                <w:rFonts w:ascii="Tahoma" w:hAnsi="Tahoma" w:cs="Tahoma"/>
                <w:color w:val="333333"/>
                <w:sz w:val="21"/>
                <w:szCs w:val="21"/>
              </w:rPr>
              <w:t>%</w:t>
            </w:r>
          </w:p>
        </w:tc>
      </w:tr>
      <w:tr w:rsidR="00DD7479" w:rsidRPr="000B6DBE" w14:paraId="33012D68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B4C6E7" w:themeFill="accent1" w:themeFillTint="66"/>
          </w:tcPr>
          <w:p w14:paraId="34B56B00" w14:textId="77777777" w:rsidR="00DD7479" w:rsidRPr="00384F0C" w:rsidRDefault="00DD7479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384F0C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Угаљ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2ED6A3C9" w14:textId="2CC709AB" w:rsidR="00DD7479" w:rsidRPr="00384F0C" w:rsidRDefault="0026758E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622</w:t>
            </w:r>
          </w:p>
        </w:tc>
        <w:tc>
          <w:tcPr>
            <w:tcW w:w="1842" w:type="dxa"/>
            <w:shd w:val="clear" w:color="auto" w:fill="B4C6E7" w:themeFill="accent1" w:themeFillTint="66"/>
          </w:tcPr>
          <w:p w14:paraId="7B56261D" w14:textId="1DD235A1" w:rsidR="00DD7479" w:rsidRPr="00384F0C" w:rsidRDefault="0026758E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12</w:t>
            </w:r>
            <w:r w:rsidR="00DD7479" w:rsidRPr="00384F0C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%</w:t>
            </w:r>
          </w:p>
        </w:tc>
      </w:tr>
      <w:tr w:rsidR="00DD7479" w:rsidRPr="000B6DBE" w14:paraId="76E5D9D6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9E2F3" w:themeFill="accent1" w:themeFillTint="33"/>
          </w:tcPr>
          <w:p w14:paraId="4F37C6D2" w14:textId="77777777" w:rsidR="00DD7479" w:rsidRPr="00384F0C" w:rsidRDefault="00DD7479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384F0C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Дрво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9D3508A" w14:textId="1F6C2632" w:rsidR="00DD7479" w:rsidRPr="00384F0C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384F0C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6</w:t>
            </w:r>
            <w:r w:rsidR="0026758E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73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AC58757" w14:textId="52E09866" w:rsidR="00DD7479" w:rsidRPr="00384F0C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384F0C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1</w:t>
            </w:r>
            <w:r w:rsidR="0026758E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3</w:t>
            </w:r>
            <w:r w:rsidRPr="00384F0C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%</w:t>
            </w:r>
          </w:p>
        </w:tc>
      </w:tr>
      <w:tr w:rsidR="0026758E" w:rsidRPr="000B6DBE" w14:paraId="50BE3713" w14:textId="77777777" w:rsidTr="002675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B4C6E7" w:themeFill="accent1" w:themeFillTint="66"/>
          </w:tcPr>
          <w:p w14:paraId="2F71BB73" w14:textId="66C0517F" w:rsidR="0026758E" w:rsidRPr="0026758E" w:rsidRDefault="0026758E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Струја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930EE97" w14:textId="4B890101" w:rsidR="0026758E" w:rsidRPr="00384F0C" w:rsidRDefault="0026758E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40</w:t>
            </w:r>
          </w:p>
        </w:tc>
        <w:tc>
          <w:tcPr>
            <w:tcW w:w="1842" w:type="dxa"/>
            <w:shd w:val="clear" w:color="auto" w:fill="B4C6E7" w:themeFill="accent1" w:themeFillTint="66"/>
          </w:tcPr>
          <w:p w14:paraId="253DD918" w14:textId="12FC4475" w:rsidR="0026758E" w:rsidRPr="00384F0C" w:rsidRDefault="0026758E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1%</w:t>
            </w:r>
          </w:p>
        </w:tc>
      </w:tr>
      <w:tr w:rsidR="0026758E" w:rsidRPr="000B6DBE" w14:paraId="07935BF8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9E2F3" w:themeFill="accent1" w:themeFillTint="33"/>
          </w:tcPr>
          <w:p w14:paraId="7736C34A" w14:textId="77AA6FF9" w:rsidR="0026758E" w:rsidRPr="009C1B3F" w:rsidRDefault="009C1B3F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9C1B3F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Друго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0AEED849" w14:textId="5703E186" w:rsidR="0026758E" w:rsidRPr="00384F0C" w:rsidRDefault="0026758E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39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07EC194D" w14:textId="68575631" w:rsidR="0026758E" w:rsidRPr="00384F0C" w:rsidRDefault="0026758E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1%</w:t>
            </w:r>
          </w:p>
        </w:tc>
      </w:tr>
      <w:tr w:rsidR="00DD7479" w:rsidRPr="000B6DBE" w14:paraId="3BBDC70E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B4C6E7" w:themeFill="accent1" w:themeFillTint="66"/>
          </w:tcPr>
          <w:p w14:paraId="6AE2E0A6" w14:textId="77777777" w:rsidR="00DD7479" w:rsidRPr="00384F0C" w:rsidRDefault="00DD7479" w:rsidP="00D23BD1">
            <w:pPr>
              <w:rPr>
                <w:rFonts w:ascii="Tahoma" w:hAnsi="Tahoma" w:cs="Tahoma"/>
                <w:b w:val="0"/>
                <w:bCs w:val="0"/>
                <w:color w:val="1F3864" w:themeColor="accent1" w:themeShade="80"/>
                <w:sz w:val="21"/>
                <w:szCs w:val="21"/>
              </w:rPr>
            </w:pPr>
            <w:r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  <w:t>Без радијатора</w:t>
            </w:r>
            <w:r>
              <w:rPr>
                <w:rFonts w:ascii="Tahoma" w:hAnsi="Tahoma" w:cs="Tahoma"/>
                <w:b w:val="0"/>
                <w:bCs w:val="0"/>
                <w:color w:val="1F3864" w:themeColor="accent1" w:themeShade="80"/>
                <w:sz w:val="21"/>
                <w:szCs w:val="21"/>
              </w:rPr>
              <w:t xml:space="preserve"> (укупно)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1CD12E87" w14:textId="77777777" w:rsidR="00DD7479" w:rsidRPr="00AF5513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</w:rPr>
              <w:t>4.313</w:t>
            </w:r>
          </w:p>
        </w:tc>
        <w:tc>
          <w:tcPr>
            <w:tcW w:w="1842" w:type="dxa"/>
            <w:shd w:val="clear" w:color="auto" w:fill="B4C6E7" w:themeFill="accent1" w:themeFillTint="66"/>
          </w:tcPr>
          <w:p w14:paraId="1FF2AC04" w14:textId="77777777" w:rsidR="00DD7479" w:rsidRPr="00946A59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333333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</w:rPr>
              <w:t>75%</w:t>
            </w:r>
          </w:p>
        </w:tc>
      </w:tr>
      <w:tr w:rsidR="00DD7479" w:rsidRPr="000B6DBE" w14:paraId="012812C8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9E2F3" w:themeFill="accent1" w:themeFillTint="33"/>
          </w:tcPr>
          <w:p w14:paraId="7A8A475D" w14:textId="77777777" w:rsidR="00DD7479" w:rsidRPr="00AF5513" w:rsidRDefault="00DD7479" w:rsidP="00D23BD1">
            <w:pPr>
              <w:ind w:left="284"/>
              <w:rPr>
                <w:rFonts w:ascii="Tahoma" w:hAnsi="Tahoma" w:cs="Tahoma"/>
                <w:color w:val="1F3864" w:themeColor="accent1" w:themeShade="80"/>
                <w:sz w:val="21"/>
                <w:szCs w:val="21"/>
              </w:rPr>
            </w:pPr>
            <w:r w:rsidRPr="00384F0C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Угаљ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5E0AE7A" w14:textId="77777777" w:rsidR="00DD7479" w:rsidRPr="00E15A89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947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3792432E" w14:textId="77777777" w:rsidR="00DD7479" w:rsidRPr="00E15A89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16%</w:t>
            </w:r>
          </w:p>
        </w:tc>
      </w:tr>
      <w:tr w:rsidR="00DD7479" w:rsidRPr="000B6DBE" w14:paraId="6F552D3D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B4C6E7" w:themeFill="accent1" w:themeFillTint="66"/>
          </w:tcPr>
          <w:p w14:paraId="796538AD" w14:textId="77777777" w:rsidR="00DD7479" w:rsidRPr="00384F0C" w:rsidRDefault="00DD7479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384F0C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Дрво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B3C43A1" w14:textId="77777777" w:rsidR="00DD7479" w:rsidRPr="00E15A89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4.104</w:t>
            </w:r>
          </w:p>
        </w:tc>
        <w:tc>
          <w:tcPr>
            <w:tcW w:w="1842" w:type="dxa"/>
            <w:shd w:val="clear" w:color="auto" w:fill="B4C6E7" w:themeFill="accent1" w:themeFillTint="66"/>
          </w:tcPr>
          <w:p w14:paraId="11FB4365" w14:textId="77777777" w:rsidR="00DD7479" w:rsidRPr="00E15A89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71%</w:t>
            </w:r>
          </w:p>
        </w:tc>
      </w:tr>
      <w:tr w:rsidR="00DD7479" w:rsidRPr="000B6DBE" w14:paraId="01D1BD11" w14:textId="77777777" w:rsidTr="008E29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9E2F3" w:themeFill="accent1" w:themeFillTint="33"/>
          </w:tcPr>
          <w:p w14:paraId="31B57C2A" w14:textId="77777777" w:rsidR="00DD7479" w:rsidRPr="00384F0C" w:rsidRDefault="00DD7479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 w:rsidRPr="00384F0C"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Струја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1A692C9B" w14:textId="77777777" w:rsidR="00DD7479" w:rsidRPr="00E15A89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159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4FE0E583" w14:textId="77777777" w:rsidR="00DD7479" w:rsidRPr="00E15A89" w:rsidRDefault="00DD7479" w:rsidP="00D23B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3%</w:t>
            </w:r>
          </w:p>
        </w:tc>
      </w:tr>
      <w:tr w:rsidR="00DD7479" w:rsidRPr="000B6DBE" w14:paraId="508F92CA" w14:textId="77777777" w:rsidTr="008E29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B4C6E7" w:themeFill="accent1" w:themeFillTint="66"/>
          </w:tcPr>
          <w:p w14:paraId="664EECEC" w14:textId="77777777" w:rsidR="00DD7479" w:rsidRPr="00384F0C" w:rsidRDefault="00DD7479" w:rsidP="00D23BD1">
            <w:pPr>
              <w:ind w:left="284"/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color w:val="1F3864" w:themeColor="accent1" w:themeShade="80"/>
                <w:sz w:val="21"/>
                <w:szCs w:val="21"/>
              </w:rPr>
              <w:t>Друго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7CE3F8F8" w14:textId="77777777" w:rsidR="00DD7479" w:rsidRPr="00E15A89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B4C6E7" w:themeFill="accent1" w:themeFillTint="66"/>
          </w:tcPr>
          <w:p w14:paraId="50D32DC4" w14:textId="77777777" w:rsidR="00DD7479" w:rsidRPr="00E15A89" w:rsidRDefault="00DD7479" w:rsidP="00D23B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</w:pPr>
            <w:r w:rsidRPr="00E15A89">
              <w:rPr>
                <w:rFonts w:ascii="Tahoma" w:hAnsi="Tahoma" w:cs="Tahoma"/>
                <w:i/>
                <w:iCs/>
                <w:color w:val="333333"/>
                <w:sz w:val="21"/>
                <w:szCs w:val="21"/>
              </w:rPr>
              <w:t>0%</w:t>
            </w:r>
          </w:p>
        </w:tc>
      </w:tr>
    </w:tbl>
    <w:p w14:paraId="73B70E85" w14:textId="21154EE5" w:rsidR="004F7A2E" w:rsidRPr="0031720B" w:rsidRDefault="0031720B" w:rsidP="0031720B">
      <w:pPr>
        <w:spacing w:after="80" w:line="259" w:lineRule="auto"/>
        <w:rPr>
          <w:rFonts w:ascii="Tahoma" w:hAnsi="Tahoma" w:cs="Tahoma"/>
          <w:sz w:val="18"/>
          <w:szCs w:val="18"/>
        </w:rPr>
      </w:pPr>
      <w:r w:rsidRPr="0031720B">
        <w:rPr>
          <w:rFonts w:ascii="Tahoma" w:hAnsi="Tahoma" w:cs="Tahoma"/>
          <w:sz w:val="18"/>
          <w:szCs w:val="18"/>
        </w:rPr>
        <w:t>Извор: Попис становништва 2011. година, Републички завод за статистику</w:t>
      </w:r>
      <w:r w:rsidR="00946A59">
        <w:rPr>
          <w:rFonts w:ascii="Tahoma" w:hAnsi="Tahoma" w:cs="Tahoma"/>
          <w:sz w:val="18"/>
          <w:szCs w:val="18"/>
        </w:rPr>
        <w:t xml:space="preserve">; калкулација аутора. </w:t>
      </w:r>
    </w:p>
    <w:p w14:paraId="70DADC62" w14:textId="77777777" w:rsidR="00F703EE" w:rsidRPr="00F703EE" w:rsidRDefault="00F703EE" w:rsidP="00F703EE">
      <w:pPr>
        <w:spacing w:line="259" w:lineRule="auto"/>
        <w:rPr>
          <w:rFonts w:ascii="Tahoma" w:hAnsi="Tahoma" w:cs="Tahoma"/>
          <w:sz w:val="10"/>
          <w:szCs w:val="10"/>
        </w:rPr>
      </w:pPr>
    </w:p>
    <w:p w14:paraId="1CC9F05D" w14:textId="708D3205" w:rsidR="00D05F42" w:rsidRPr="00F47A45" w:rsidRDefault="00D05F42" w:rsidP="00F703EE">
      <w:pPr>
        <w:spacing w:after="160" w:line="259" w:lineRule="auto"/>
        <w:rPr>
          <w:rFonts w:ascii="Tahoma" w:hAnsi="Tahoma" w:cs="Tahoma"/>
        </w:rPr>
      </w:pPr>
      <w:r w:rsidRPr="00D05F42">
        <w:rPr>
          <w:rFonts w:ascii="Tahoma" w:hAnsi="Tahoma" w:cs="Tahoma"/>
        </w:rPr>
        <w:t xml:space="preserve">Према пописним подацима велики број домаћинстава у општини </w:t>
      </w:r>
      <w:proofErr w:type="spellStart"/>
      <w:r w:rsidRPr="00D05F42">
        <w:rPr>
          <w:rFonts w:ascii="Tahoma" w:hAnsi="Tahoma" w:cs="Tahoma"/>
        </w:rPr>
        <w:t>Бач</w:t>
      </w:r>
      <w:proofErr w:type="spellEnd"/>
      <w:r w:rsidRPr="00D05F42">
        <w:rPr>
          <w:rFonts w:ascii="Tahoma" w:hAnsi="Tahoma" w:cs="Tahoma"/>
        </w:rPr>
        <w:t xml:space="preserve"> је користио индивидуалне уређаје за грејање. Чак 78% домаћинстава је користило индивидуалне уређаје за грејање на дрва што указује на врло вероватну ниску ефикасност и високе специфичне емисије загађујућих материја.</w:t>
      </w:r>
    </w:p>
    <w:p w14:paraId="5E0121CE" w14:textId="3D4C6B6C" w:rsidR="00A401F2" w:rsidRPr="00F47A45" w:rsidRDefault="004F7A2E" w:rsidP="007A3DA2">
      <w:pPr>
        <w:pStyle w:val="Heading1"/>
        <w:spacing w:after="160" w:line="259" w:lineRule="auto"/>
        <w:rPr>
          <w:rFonts w:ascii="Tahoma" w:hAnsi="Tahoma" w:cs="Tahoma"/>
          <w:sz w:val="22"/>
          <w:szCs w:val="22"/>
        </w:rPr>
      </w:pPr>
      <w:r w:rsidRPr="00A748B5">
        <w:rPr>
          <w:rFonts w:ascii="Tahoma" w:hAnsi="Tahoma" w:cs="Tahoma"/>
          <w:b/>
          <w:bCs/>
          <w:sz w:val="28"/>
          <w:szCs w:val="28"/>
        </w:rPr>
        <w:t xml:space="preserve">Енергетско сиромаштво </w:t>
      </w:r>
      <w:r w:rsidR="00A401F2" w:rsidRPr="00A748B5">
        <w:rPr>
          <w:rFonts w:ascii="Tahoma" w:hAnsi="Tahoma" w:cs="Tahoma"/>
          <w:b/>
          <w:bCs/>
          <w:sz w:val="28"/>
          <w:szCs w:val="28"/>
        </w:rPr>
        <w:t>и енергетски угрожени купци</w:t>
      </w:r>
    </w:p>
    <w:p w14:paraId="034C959B" w14:textId="6F776DAC" w:rsidR="001D4659" w:rsidRPr="00F47A45" w:rsidRDefault="001D4659" w:rsidP="007A3DA2">
      <w:pPr>
        <w:spacing w:after="160" w:line="259" w:lineRule="auto"/>
        <w:rPr>
          <w:rFonts w:ascii="Tahoma" w:hAnsi="Tahoma" w:cs="Tahoma"/>
        </w:rPr>
      </w:pPr>
      <w:r w:rsidRPr="001D4659">
        <w:rPr>
          <w:rFonts w:ascii="Tahoma" w:hAnsi="Tahoma" w:cs="Tahoma"/>
        </w:rPr>
        <w:t>Увидом у базу енергетски угрожених купаца коју води Министарство рударства и енергетике</w:t>
      </w:r>
      <w:r>
        <w:rPr>
          <w:rFonts w:ascii="Tahoma" w:hAnsi="Tahoma" w:cs="Tahoma"/>
        </w:rPr>
        <w:t>,</w:t>
      </w:r>
      <w:r w:rsidRPr="001D4659">
        <w:rPr>
          <w:rFonts w:ascii="Tahoma" w:hAnsi="Tahoma" w:cs="Tahoma"/>
        </w:rPr>
        <w:t xml:space="preserve"> просечан број домаћинстава кој</w:t>
      </w:r>
      <w:r>
        <w:rPr>
          <w:rFonts w:ascii="Tahoma" w:hAnsi="Tahoma" w:cs="Tahoma"/>
        </w:rPr>
        <w:t>а</w:t>
      </w:r>
      <w:r w:rsidRPr="001D4659">
        <w:rPr>
          <w:rFonts w:ascii="Tahoma" w:hAnsi="Tahoma" w:cs="Tahoma"/>
        </w:rPr>
        <w:t xml:space="preserve"> су у периоду 2017-2019. године били корисници ове подршке био </w:t>
      </w:r>
      <w:r>
        <w:rPr>
          <w:rFonts w:ascii="Tahoma" w:hAnsi="Tahoma" w:cs="Tahoma"/>
        </w:rPr>
        <w:t xml:space="preserve">је </w:t>
      </w:r>
      <w:r w:rsidRPr="001D4659">
        <w:rPr>
          <w:rFonts w:ascii="Tahoma" w:hAnsi="Tahoma" w:cs="Tahoma"/>
        </w:rPr>
        <w:t>мањи од 100. Општина може да размотри да ли је приступ коришћењу ове услуге довољно једноставан за све кориснике и да изнађе начин да повећа приступ овој подршци.</w:t>
      </w:r>
    </w:p>
    <w:p w14:paraId="1058B32A" w14:textId="77777777" w:rsidR="004F7A2E" w:rsidRPr="00F47A45" w:rsidRDefault="004F7A2E" w:rsidP="007A3DA2">
      <w:pPr>
        <w:spacing w:after="160" w:line="259" w:lineRule="auto"/>
        <w:rPr>
          <w:rFonts w:ascii="Tahoma" w:hAnsi="Tahoma" w:cs="Tahoma"/>
        </w:rPr>
      </w:pPr>
    </w:p>
    <w:sectPr w:rsidR="004F7A2E" w:rsidRPr="00F47A45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481B" w14:textId="77777777" w:rsidR="00725A86" w:rsidRDefault="00725A86" w:rsidP="00FA25C1">
      <w:r>
        <w:separator/>
      </w:r>
    </w:p>
  </w:endnote>
  <w:endnote w:type="continuationSeparator" w:id="0">
    <w:p w14:paraId="58139BC5" w14:textId="77777777" w:rsidR="00725A86" w:rsidRDefault="00725A86" w:rsidP="00FA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irilica">
    <w:altName w:val="Arial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3112112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noProof/>
        <w:color w:val="1F3864" w:themeColor="accent1" w:themeShade="80"/>
        <w:sz w:val="20"/>
        <w:szCs w:val="20"/>
      </w:rPr>
    </w:sdtEndPr>
    <w:sdtContent>
      <w:p w14:paraId="116D7D54" w14:textId="5FFE64E3" w:rsidR="000060CD" w:rsidRPr="0031720B" w:rsidRDefault="000060CD">
        <w:pPr>
          <w:pStyle w:val="Footer"/>
          <w:jc w:val="right"/>
          <w:rPr>
            <w:rFonts w:ascii="Tahoma" w:hAnsi="Tahoma" w:cs="Tahoma"/>
            <w:b/>
            <w:bCs/>
            <w:color w:val="1F3864" w:themeColor="accent1" w:themeShade="80"/>
            <w:sz w:val="20"/>
            <w:szCs w:val="20"/>
          </w:rPr>
        </w:pPr>
        <w:r w:rsidRPr="0031720B">
          <w:rPr>
            <w:rFonts w:ascii="Tahoma" w:hAnsi="Tahoma" w:cs="Tahoma"/>
            <w:b/>
            <w:bCs/>
            <w:color w:val="1F3864" w:themeColor="accent1" w:themeShade="80"/>
            <w:sz w:val="20"/>
            <w:szCs w:val="20"/>
          </w:rPr>
          <w:fldChar w:fldCharType="begin"/>
        </w:r>
        <w:r w:rsidRPr="0031720B">
          <w:rPr>
            <w:rFonts w:ascii="Tahoma" w:hAnsi="Tahoma" w:cs="Tahoma"/>
            <w:b/>
            <w:bCs/>
            <w:color w:val="1F3864" w:themeColor="accent1" w:themeShade="80"/>
            <w:sz w:val="20"/>
            <w:szCs w:val="20"/>
          </w:rPr>
          <w:instrText xml:space="preserve"> PAGE   \* MERGEFORMAT </w:instrText>
        </w:r>
        <w:r w:rsidRPr="0031720B">
          <w:rPr>
            <w:rFonts w:ascii="Tahoma" w:hAnsi="Tahoma" w:cs="Tahoma"/>
            <w:b/>
            <w:bCs/>
            <w:color w:val="1F3864" w:themeColor="accent1" w:themeShade="80"/>
            <w:sz w:val="20"/>
            <w:szCs w:val="20"/>
          </w:rPr>
          <w:fldChar w:fldCharType="separate"/>
        </w:r>
        <w:r w:rsidR="00485D0C" w:rsidRPr="0031720B">
          <w:rPr>
            <w:rFonts w:ascii="Tahoma" w:hAnsi="Tahoma" w:cs="Tahoma"/>
            <w:b/>
            <w:bCs/>
            <w:noProof/>
            <w:color w:val="1F3864" w:themeColor="accent1" w:themeShade="80"/>
            <w:sz w:val="20"/>
            <w:szCs w:val="20"/>
          </w:rPr>
          <w:t>9</w:t>
        </w:r>
        <w:r w:rsidRPr="0031720B">
          <w:rPr>
            <w:rFonts w:ascii="Tahoma" w:hAnsi="Tahoma" w:cs="Tahoma"/>
            <w:b/>
            <w:bCs/>
            <w:noProof/>
            <w:color w:val="1F3864" w:themeColor="accent1" w:themeShade="80"/>
            <w:sz w:val="20"/>
            <w:szCs w:val="20"/>
          </w:rPr>
          <w:fldChar w:fldCharType="end"/>
        </w:r>
      </w:p>
    </w:sdtContent>
  </w:sdt>
  <w:p w14:paraId="1A3C9773" w14:textId="77777777" w:rsidR="000060CD" w:rsidRDefault="00006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14E5A" w14:textId="77777777" w:rsidR="00725A86" w:rsidRDefault="00725A86" w:rsidP="00FA25C1">
      <w:r>
        <w:separator/>
      </w:r>
    </w:p>
  </w:footnote>
  <w:footnote w:type="continuationSeparator" w:id="0">
    <w:p w14:paraId="5E8DF567" w14:textId="77777777" w:rsidR="00725A86" w:rsidRDefault="00725A86" w:rsidP="00FA25C1">
      <w:r>
        <w:continuationSeparator/>
      </w:r>
    </w:p>
  </w:footnote>
  <w:footnote w:id="1">
    <w:p w14:paraId="2DE8CF2E" w14:textId="0485C01A" w:rsidR="00397A73" w:rsidRPr="00397A73" w:rsidRDefault="00397A73">
      <w:pPr>
        <w:pStyle w:val="FootnoteText"/>
        <w:rPr>
          <w:rFonts w:ascii="Tahoma" w:hAnsi="Tahoma" w:cs="Tahoma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397A73">
        <w:rPr>
          <w:rFonts w:ascii="Tahoma" w:hAnsi="Tahoma" w:cs="Tahoma"/>
          <w:sz w:val="18"/>
          <w:szCs w:val="18"/>
        </w:rPr>
        <w:t xml:space="preserve">Извор: </w:t>
      </w:r>
      <w:r w:rsidR="00E35D7E">
        <w:rPr>
          <w:rFonts w:ascii="Tahoma" w:hAnsi="Tahoma" w:cs="Tahoma"/>
          <w:sz w:val="18"/>
          <w:szCs w:val="18"/>
        </w:rPr>
        <w:t>Калкулација аутора на бази п</w:t>
      </w:r>
      <w:r>
        <w:rPr>
          <w:rFonts w:ascii="Tahoma" w:hAnsi="Tahoma" w:cs="Tahoma"/>
          <w:sz w:val="18"/>
          <w:szCs w:val="18"/>
        </w:rPr>
        <w:t>одатак</w:t>
      </w:r>
      <w:r w:rsidR="00E35D7E">
        <w:rPr>
          <w:rFonts w:ascii="Tahoma" w:hAnsi="Tahoma" w:cs="Tahoma"/>
          <w:sz w:val="18"/>
          <w:szCs w:val="18"/>
        </w:rPr>
        <w:t>а</w:t>
      </w:r>
      <w:r>
        <w:rPr>
          <w:rFonts w:ascii="Tahoma" w:hAnsi="Tahoma" w:cs="Tahoma"/>
          <w:sz w:val="18"/>
          <w:szCs w:val="18"/>
        </w:rPr>
        <w:t xml:space="preserve"> </w:t>
      </w:r>
      <w:r w:rsidR="00E35D7E">
        <w:rPr>
          <w:rFonts w:ascii="Tahoma" w:hAnsi="Tahoma" w:cs="Tahoma"/>
          <w:sz w:val="18"/>
          <w:szCs w:val="18"/>
        </w:rPr>
        <w:t>из публикације „</w:t>
      </w:r>
      <w:r w:rsidR="005471FB" w:rsidRPr="00554121">
        <w:rPr>
          <w:rFonts w:ascii="Tahoma" w:hAnsi="Tahoma" w:cs="Tahoma"/>
          <w:i/>
          <w:iCs/>
          <w:sz w:val="18"/>
          <w:szCs w:val="18"/>
        </w:rPr>
        <w:t>Општине и региони у Републици Србији 2020</w:t>
      </w:r>
      <w:r w:rsidR="00E35D7E">
        <w:rPr>
          <w:rFonts w:ascii="Tahoma" w:hAnsi="Tahoma" w:cs="Tahoma"/>
          <w:sz w:val="18"/>
          <w:szCs w:val="18"/>
        </w:rPr>
        <w:t>„,</w:t>
      </w:r>
      <w:r>
        <w:rPr>
          <w:rFonts w:ascii="Tahoma" w:hAnsi="Tahoma" w:cs="Tahoma"/>
          <w:sz w:val="18"/>
          <w:szCs w:val="18"/>
        </w:rPr>
        <w:t>Републичк</w:t>
      </w:r>
      <w:r w:rsidR="00E35D7E">
        <w:rPr>
          <w:rFonts w:ascii="Tahoma" w:hAnsi="Tahoma" w:cs="Tahoma"/>
          <w:sz w:val="18"/>
          <w:szCs w:val="18"/>
        </w:rPr>
        <w:t>у</w:t>
      </w:r>
      <w:r>
        <w:rPr>
          <w:rFonts w:ascii="Tahoma" w:hAnsi="Tahoma" w:cs="Tahoma"/>
          <w:sz w:val="18"/>
          <w:szCs w:val="18"/>
        </w:rPr>
        <w:t xml:space="preserve"> завод за статистику. </w:t>
      </w:r>
    </w:p>
  </w:footnote>
  <w:footnote w:id="2">
    <w:p w14:paraId="3DB09696" w14:textId="77777777" w:rsidR="00082B80" w:rsidRPr="00DF2489" w:rsidRDefault="00082B80" w:rsidP="00082B80">
      <w:pPr>
        <w:pStyle w:val="FootnoteText"/>
        <w:spacing w:after="40" w:line="259" w:lineRule="auto"/>
        <w:rPr>
          <w:rFonts w:ascii="Tahoma" w:hAnsi="Tahoma" w:cs="Tahoma"/>
          <w:sz w:val="18"/>
          <w:szCs w:val="18"/>
        </w:rPr>
      </w:pPr>
      <w:r w:rsidRPr="00DF2489">
        <w:rPr>
          <w:rStyle w:val="FootnoteReference"/>
          <w:rFonts w:ascii="Tahoma" w:hAnsi="Tahoma" w:cs="Tahoma"/>
          <w:sz w:val="18"/>
          <w:szCs w:val="18"/>
        </w:rPr>
        <w:footnoteRef/>
      </w:r>
      <w:r w:rsidRPr="00DF2489">
        <w:rPr>
          <w:rFonts w:ascii="Tahoma" w:hAnsi="Tahoma" w:cs="Tahoma"/>
          <w:sz w:val="18"/>
          <w:szCs w:val="18"/>
        </w:rPr>
        <w:t xml:space="preserve"> </w:t>
      </w:r>
      <w:r w:rsidRPr="00DF2489">
        <w:rPr>
          <w:rFonts w:ascii="Tahoma" w:hAnsi="Tahoma" w:cs="Tahoma"/>
          <w:sz w:val="18"/>
          <w:szCs w:val="18"/>
        </w:rPr>
        <w:t>Извор: „</w:t>
      </w:r>
      <w:r w:rsidRPr="00DF2489">
        <w:rPr>
          <w:rFonts w:ascii="Tahoma" w:hAnsi="Tahoma" w:cs="Tahoma"/>
          <w:i/>
          <w:iCs/>
          <w:sz w:val="18"/>
          <w:szCs w:val="18"/>
        </w:rPr>
        <w:t xml:space="preserve">Извештај о здравственој исправности воде за пиће јавних водовода и </w:t>
      </w:r>
      <w:proofErr w:type="spellStart"/>
      <w:r w:rsidRPr="00DF2489">
        <w:rPr>
          <w:rFonts w:ascii="Tahoma" w:hAnsi="Tahoma" w:cs="Tahoma"/>
          <w:i/>
          <w:iCs/>
          <w:sz w:val="18"/>
          <w:szCs w:val="18"/>
        </w:rPr>
        <w:t>водних</w:t>
      </w:r>
      <w:proofErr w:type="spellEnd"/>
      <w:r w:rsidRPr="00DF2489">
        <w:rPr>
          <w:rFonts w:ascii="Tahoma" w:hAnsi="Tahoma" w:cs="Tahoma"/>
          <w:i/>
          <w:iCs/>
          <w:sz w:val="18"/>
          <w:szCs w:val="18"/>
        </w:rPr>
        <w:t xml:space="preserve"> објеката у Републици Србији за 2019. годину</w:t>
      </w:r>
      <w:r w:rsidRPr="00DF2489">
        <w:rPr>
          <w:rFonts w:ascii="Tahoma" w:hAnsi="Tahoma" w:cs="Tahoma"/>
          <w:sz w:val="18"/>
          <w:szCs w:val="18"/>
        </w:rPr>
        <w:t xml:space="preserve">“, Институт за јавно здравље Србије „Др Милан Јовановић Батут” (линк </w:t>
      </w:r>
      <w:hyperlink r:id="rId1" w:history="1">
        <w:r w:rsidRPr="00DF2489">
          <w:rPr>
            <w:rStyle w:val="Hyperlink"/>
            <w:rFonts w:ascii="Tahoma" w:hAnsi="Tahoma" w:cs="Tahoma"/>
            <w:sz w:val="18"/>
            <w:szCs w:val="18"/>
          </w:rPr>
          <w:t>&gt;&gt;</w:t>
        </w:r>
      </w:hyperlink>
      <w:r w:rsidRPr="00DF2489">
        <w:rPr>
          <w:rFonts w:ascii="Tahoma" w:hAnsi="Tahoma" w:cs="Tahoma"/>
          <w:sz w:val="18"/>
          <w:szCs w:val="18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E0A9A"/>
    <w:multiLevelType w:val="hybridMultilevel"/>
    <w:tmpl w:val="CFDEF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41A5E"/>
    <w:multiLevelType w:val="hybridMultilevel"/>
    <w:tmpl w:val="5790829E"/>
    <w:lvl w:ilvl="0" w:tplc="97340C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Cirilica" w:eastAsia="Times New Roman" w:hAnsi="Arial Cirilic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67A85"/>
    <w:multiLevelType w:val="hybridMultilevel"/>
    <w:tmpl w:val="2CDC71A4"/>
    <w:lvl w:ilvl="0" w:tplc="084482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A82F80"/>
    <w:multiLevelType w:val="hybridMultilevel"/>
    <w:tmpl w:val="02D62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652C9"/>
    <w:multiLevelType w:val="hybridMultilevel"/>
    <w:tmpl w:val="4DA2D364"/>
    <w:lvl w:ilvl="0" w:tplc="3884A8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3863B8"/>
    <w:multiLevelType w:val="hybridMultilevel"/>
    <w:tmpl w:val="AAA6252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4940683"/>
    <w:multiLevelType w:val="hybridMultilevel"/>
    <w:tmpl w:val="E7C4D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F3747"/>
    <w:multiLevelType w:val="hybridMultilevel"/>
    <w:tmpl w:val="33349B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C41243"/>
    <w:multiLevelType w:val="hybridMultilevel"/>
    <w:tmpl w:val="081A3E36"/>
    <w:lvl w:ilvl="0" w:tplc="31DE80FC">
      <w:start w:val="1"/>
      <w:numFmt w:val="decimal"/>
      <w:lvlText w:val="%1."/>
      <w:lvlJc w:val="left"/>
      <w:pPr>
        <w:ind w:left="720" w:hanging="360"/>
      </w:pPr>
      <w:rPr>
        <w:b/>
        <w:bCs/>
        <w:color w:val="2F549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98"/>
    <w:rsid w:val="000056A3"/>
    <w:rsid w:val="000060CD"/>
    <w:rsid w:val="0003305F"/>
    <w:rsid w:val="0003565A"/>
    <w:rsid w:val="00045141"/>
    <w:rsid w:val="000536AB"/>
    <w:rsid w:val="00054702"/>
    <w:rsid w:val="00056161"/>
    <w:rsid w:val="00082B80"/>
    <w:rsid w:val="00091590"/>
    <w:rsid w:val="00096927"/>
    <w:rsid w:val="000A34A3"/>
    <w:rsid w:val="000B0ED2"/>
    <w:rsid w:val="000C292F"/>
    <w:rsid w:val="000C7C61"/>
    <w:rsid w:val="000C7D14"/>
    <w:rsid w:val="000D3480"/>
    <w:rsid w:val="000F08DA"/>
    <w:rsid w:val="000F4CEE"/>
    <w:rsid w:val="000F6AB2"/>
    <w:rsid w:val="00100D5E"/>
    <w:rsid w:val="0010182B"/>
    <w:rsid w:val="00114978"/>
    <w:rsid w:val="00120E72"/>
    <w:rsid w:val="00125546"/>
    <w:rsid w:val="001539F1"/>
    <w:rsid w:val="0018400D"/>
    <w:rsid w:val="00185845"/>
    <w:rsid w:val="00190BF3"/>
    <w:rsid w:val="0019224F"/>
    <w:rsid w:val="00194DCE"/>
    <w:rsid w:val="001A4F52"/>
    <w:rsid w:val="001B0EA7"/>
    <w:rsid w:val="001C1926"/>
    <w:rsid w:val="001C1DB3"/>
    <w:rsid w:val="001C3643"/>
    <w:rsid w:val="001D4659"/>
    <w:rsid w:val="001F2DF2"/>
    <w:rsid w:val="001F711C"/>
    <w:rsid w:val="00211835"/>
    <w:rsid w:val="00214741"/>
    <w:rsid w:val="00215612"/>
    <w:rsid w:val="00215F84"/>
    <w:rsid w:val="0025277C"/>
    <w:rsid w:val="00253329"/>
    <w:rsid w:val="0026758E"/>
    <w:rsid w:val="0028032B"/>
    <w:rsid w:val="00281B01"/>
    <w:rsid w:val="00297080"/>
    <w:rsid w:val="002B5BC9"/>
    <w:rsid w:val="002B5EEC"/>
    <w:rsid w:val="002B7535"/>
    <w:rsid w:val="002C1C45"/>
    <w:rsid w:val="002E282F"/>
    <w:rsid w:val="002F38FC"/>
    <w:rsid w:val="002F75B2"/>
    <w:rsid w:val="00300E81"/>
    <w:rsid w:val="0031720B"/>
    <w:rsid w:val="00333034"/>
    <w:rsid w:val="00340634"/>
    <w:rsid w:val="00384F0C"/>
    <w:rsid w:val="00392CAE"/>
    <w:rsid w:val="00397A73"/>
    <w:rsid w:val="003A0470"/>
    <w:rsid w:val="003D1E9A"/>
    <w:rsid w:val="003E4D31"/>
    <w:rsid w:val="003F108D"/>
    <w:rsid w:val="003F7678"/>
    <w:rsid w:val="00403D57"/>
    <w:rsid w:val="00412308"/>
    <w:rsid w:val="00415B52"/>
    <w:rsid w:val="00416222"/>
    <w:rsid w:val="00416A8A"/>
    <w:rsid w:val="00422724"/>
    <w:rsid w:val="0042340A"/>
    <w:rsid w:val="00426958"/>
    <w:rsid w:val="0043320B"/>
    <w:rsid w:val="00434C8C"/>
    <w:rsid w:val="0044693E"/>
    <w:rsid w:val="0045105E"/>
    <w:rsid w:val="004515F8"/>
    <w:rsid w:val="00485D0C"/>
    <w:rsid w:val="00486A8A"/>
    <w:rsid w:val="00492531"/>
    <w:rsid w:val="00496A6C"/>
    <w:rsid w:val="0049781E"/>
    <w:rsid w:val="004A2F2A"/>
    <w:rsid w:val="004A5668"/>
    <w:rsid w:val="004B3B98"/>
    <w:rsid w:val="004B4209"/>
    <w:rsid w:val="004E2247"/>
    <w:rsid w:val="004E529F"/>
    <w:rsid w:val="004F7A2E"/>
    <w:rsid w:val="00506F87"/>
    <w:rsid w:val="00512ED1"/>
    <w:rsid w:val="00513645"/>
    <w:rsid w:val="00515665"/>
    <w:rsid w:val="00540DFA"/>
    <w:rsid w:val="00543273"/>
    <w:rsid w:val="005471FB"/>
    <w:rsid w:val="00551FBC"/>
    <w:rsid w:val="0057241D"/>
    <w:rsid w:val="005847B1"/>
    <w:rsid w:val="005A742E"/>
    <w:rsid w:val="005B4416"/>
    <w:rsid w:val="005D2941"/>
    <w:rsid w:val="005D729D"/>
    <w:rsid w:val="005F3530"/>
    <w:rsid w:val="00604A7F"/>
    <w:rsid w:val="00634541"/>
    <w:rsid w:val="00641C1E"/>
    <w:rsid w:val="00644BD1"/>
    <w:rsid w:val="0065404A"/>
    <w:rsid w:val="0066512D"/>
    <w:rsid w:val="00677196"/>
    <w:rsid w:val="0068332C"/>
    <w:rsid w:val="006852B1"/>
    <w:rsid w:val="006856DA"/>
    <w:rsid w:val="006B38E1"/>
    <w:rsid w:val="006B53EF"/>
    <w:rsid w:val="006E1D74"/>
    <w:rsid w:val="006F0060"/>
    <w:rsid w:val="007243F6"/>
    <w:rsid w:val="00725A86"/>
    <w:rsid w:val="00755347"/>
    <w:rsid w:val="007725AB"/>
    <w:rsid w:val="0077329D"/>
    <w:rsid w:val="007A3DA2"/>
    <w:rsid w:val="007B1B4C"/>
    <w:rsid w:val="007B2034"/>
    <w:rsid w:val="007B3543"/>
    <w:rsid w:val="007B6EB1"/>
    <w:rsid w:val="007C6DDD"/>
    <w:rsid w:val="007E5354"/>
    <w:rsid w:val="007E5FB1"/>
    <w:rsid w:val="007E68D2"/>
    <w:rsid w:val="007F0781"/>
    <w:rsid w:val="00813F69"/>
    <w:rsid w:val="00817819"/>
    <w:rsid w:val="00821BC2"/>
    <w:rsid w:val="00837532"/>
    <w:rsid w:val="008477FD"/>
    <w:rsid w:val="0086209B"/>
    <w:rsid w:val="00872A8E"/>
    <w:rsid w:val="008915DC"/>
    <w:rsid w:val="00891BCE"/>
    <w:rsid w:val="008A59CE"/>
    <w:rsid w:val="008B0027"/>
    <w:rsid w:val="008B3112"/>
    <w:rsid w:val="008E29BC"/>
    <w:rsid w:val="008E5E48"/>
    <w:rsid w:val="008E7F66"/>
    <w:rsid w:val="008F10F2"/>
    <w:rsid w:val="009358CB"/>
    <w:rsid w:val="00942EE1"/>
    <w:rsid w:val="00944972"/>
    <w:rsid w:val="00946A59"/>
    <w:rsid w:val="00946C98"/>
    <w:rsid w:val="00965F4F"/>
    <w:rsid w:val="0097788A"/>
    <w:rsid w:val="0098292F"/>
    <w:rsid w:val="009930AB"/>
    <w:rsid w:val="009A7EB3"/>
    <w:rsid w:val="009B17C6"/>
    <w:rsid w:val="009C1B3F"/>
    <w:rsid w:val="009C1F53"/>
    <w:rsid w:val="009C73DD"/>
    <w:rsid w:val="009D236F"/>
    <w:rsid w:val="009D2973"/>
    <w:rsid w:val="009D5D36"/>
    <w:rsid w:val="00A040F0"/>
    <w:rsid w:val="00A05185"/>
    <w:rsid w:val="00A06793"/>
    <w:rsid w:val="00A113AC"/>
    <w:rsid w:val="00A303C3"/>
    <w:rsid w:val="00A401F2"/>
    <w:rsid w:val="00A62298"/>
    <w:rsid w:val="00A748B5"/>
    <w:rsid w:val="00A75488"/>
    <w:rsid w:val="00A83910"/>
    <w:rsid w:val="00A91C51"/>
    <w:rsid w:val="00AA2C63"/>
    <w:rsid w:val="00AA6016"/>
    <w:rsid w:val="00AB2669"/>
    <w:rsid w:val="00AC068D"/>
    <w:rsid w:val="00AD142D"/>
    <w:rsid w:val="00AD3AFE"/>
    <w:rsid w:val="00AD4D73"/>
    <w:rsid w:val="00AF0926"/>
    <w:rsid w:val="00B03312"/>
    <w:rsid w:val="00B044CD"/>
    <w:rsid w:val="00B13D65"/>
    <w:rsid w:val="00B169E5"/>
    <w:rsid w:val="00B2076F"/>
    <w:rsid w:val="00B23453"/>
    <w:rsid w:val="00B25280"/>
    <w:rsid w:val="00B40C83"/>
    <w:rsid w:val="00B4289C"/>
    <w:rsid w:val="00B56714"/>
    <w:rsid w:val="00B67DEA"/>
    <w:rsid w:val="00B76A0A"/>
    <w:rsid w:val="00B90426"/>
    <w:rsid w:val="00BB2C12"/>
    <w:rsid w:val="00BB6648"/>
    <w:rsid w:val="00BD1030"/>
    <w:rsid w:val="00BF2B87"/>
    <w:rsid w:val="00BF5855"/>
    <w:rsid w:val="00C12563"/>
    <w:rsid w:val="00C43700"/>
    <w:rsid w:val="00C51545"/>
    <w:rsid w:val="00C645E2"/>
    <w:rsid w:val="00C653B7"/>
    <w:rsid w:val="00C77483"/>
    <w:rsid w:val="00C81511"/>
    <w:rsid w:val="00C8176D"/>
    <w:rsid w:val="00C84FB5"/>
    <w:rsid w:val="00C9437B"/>
    <w:rsid w:val="00C95AF1"/>
    <w:rsid w:val="00CA4913"/>
    <w:rsid w:val="00CC13EC"/>
    <w:rsid w:val="00D045BC"/>
    <w:rsid w:val="00D05A79"/>
    <w:rsid w:val="00D05F42"/>
    <w:rsid w:val="00D102A2"/>
    <w:rsid w:val="00D40DD9"/>
    <w:rsid w:val="00D50B94"/>
    <w:rsid w:val="00D50BBC"/>
    <w:rsid w:val="00D6165A"/>
    <w:rsid w:val="00D72D08"/>
    <w:rsid w:val="00D90A35"/>
    <w:rsid w:val="00D90FDD"/>
    <w:rsid w:val="00D9765D"/>
    <w:rsid w:val="00DA6B3B"/>
    <w:rsid w:val="00DB0C94"/>
    <w:rsid w:val="00DC55E1"/>
    <w:rsid w:val="00DD4EC2"/>
    <w:rsid w:val="00DD7479"/>
    <w:rsid w:val="00DE17F8"/>
    <w:rsid w:val="00DE2B04"/>
    <w:rsid w:val="00DF2489"/>
    <w:rsid w:val="00DF7D71"/>
    <w:rsid w:val="00E10BC1"/>
    <w:rsid w:val="00E15A89"/>
    <w:rsid w:val="00E23AF8"/>
    <w:rsid w:val="00E32401"/>
    <w:rsid w:val="00E35D7E"/>
    <w:rsid w:val="00E4155B"/>
    <w:rsid w:val="00E572A6"/>
    <w:rsid w:val="00E60752"/>
    <w:rsid w:val="00E67508"/>
    <w:rsid w:val="00EA2AF2"/>
    <w:rsid w:val="00EA513C"/>
    <w:rsid w:val="00EA5CD2"/>
    <w:rsid w:val="00EC5959"/>
    <w:rsid w:val="00ED5A58"/>
    <w:rsid w:val="00EE3880"/>
    <w:rsid w:val="00EF06B2"/>
    <w:rsid w:val="00EF5B17"/>
    <w:rsid w:val="00F02937"/>
    <w:rsid w:val="00F066C9"/>
    <w:rsid w:val="00F10200"/>
    <w:rsid w:val="00F20101"/>
    <w:rsid w:val="00F2708B"/>
    <w:rsid w:val="00F32DB0"/>
    <w:rsid w:val="00F34864"/>
    <w:rsid w:val="00F47A45"/>
    <w:rsid w:val="00F703EE"/>
    <w:rsid w:val="00F73C08"/>
    <w:rsid w:val="00F7726E"/>
    <w:rsid w:val="00FA25C1"/>
    <w:rsid w:val="00FA5325"/>
    <w:rsid w:val="00FA7B21"/>
    <w:rsid w:val="00FD4571"/>
    <w:rsid w:val="00FE6E0E"/>
    <w:rsid w:val="00FE70EB"/>
    <w:rsid w:val="00FF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D481"/>
  <w15:docId w15:val="{29488494-AD85-4675-8CCE-9E0B01D1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5C1"/>
    <w:pPr>
      <w:jc w:val="both"/>
    </w:pPr>
    <w:rPr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24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24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29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4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724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292F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table" w:styleId="TableGrid">
    <w:name w:val="Table Grid"/>
    <w:basedOn w:val="PlainTable51"/>
    <w:uiPriority w:val="39"/>
    <w:rsid w:val="0098292F"/>
    <w:rPr>
      <w:rFonts w:eastAsia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8292F"/>
    <w:pPr>
      <w:spacing w:after="200"/>
    </w:pPr>
    <w:rPr>
      <w:rFonts w:eastAsia="Times New Roman" w:cs="Times New Roman"/>
      <w:i/>
      <w:iCs/>
      <w:color w:val="44546A" w:themeColor="text2"/>
      <w:sz w:val="18"/>
      <w:szCs w:val="18"/>
      <w:lang w:val="en-US"/>
    </w:rPr>
  </w:style>
  <w:style w:type="table" w:customStyle="1" w:styleId="PlainTable51">
    <w:name w:val="Plain Table 51"/>
    <w:basedOn w:val="TableNormal"/>
    <w:uiPriority w:val="45"/>
    <w:rsid w:val="0098292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2533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33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329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211835"/>
    <w:rPr>
      <w:rFonts w:eastAsia="Times New Roma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95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A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AF1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AF1"/>
    <w:rPr>
      <w:b/>
      <w:bCs/>
      <w:sz w:val="20"/>
      <w:szCs w:val="20"/>
      <w:lang w:val="sr-Cyrl-RS"/>
    </w:rPr>
  </w:style>
  <w:style w:type="paragraph" w:styleId="ListParagraph">
    <w:name w:val="List Paragraph"/>
    <w:basedOn w:val="Normal"/>
    <w:link w:val="ListParagraphChar"/>
    <w:uiPriority w:val="34"/>
    <w:qFormat/>
    <w:rsid w:val="007B20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59C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59C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401"/>
    <w:rPr>
      <w:rFonts w:ascii="Tahoma" w:hAnsi="Tahoma" w:cs="Tahoma"/>
      <w:sz w:val="16"/>
      <w:szCs w:val="16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0060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0CD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0060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0CD"/>
    <w:rPr>
      <w:sz w:val="22"/>
      <w:szCs w:val="22"/>
      <w:lang w:val="sr-Cyrl-RS"/>
    </w:rPr>
  </w:style>
  <w:style w:type="table" w:customStyle="1" w:styleId="GridTable5Dark-Accent51">
    <w:name w:val="Grid Table 5 Dark - Accent 51"/>
    <w:basedOn w:val="TableNormal"/>
    <w:uiPriority w:val="50"/>
    <w:rsid w:val="00B56714"/>
    <w:rPr>
      <w:sz w:val="22"/>
      <w:szCs w:val="22"/>
      <w:lang w:val="sr-Latn-R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C292F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locked/>
    <w:rsid w:val="00EF5B17"/>
    <w:rPr>
      <w:sz w:val="22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customXml" Target="../customXml/item2.xml"/><Relationship Id="rId16" Type="http://schemas.openxmlformats.org/officeDocument/2006/relationships/chart" Target="charts/chart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chart" Target="charts/chart5.xml"/><Relationship Id="rId10" Type="http://schemas.openxmlformats.org/officeDocument/2006/relationships/endnotes" Target="endnotes.xml"/><Relationship Id="rId19" Type="http://schemas.openxmlformats.org/officeDocument/2006/relationships/chart" Target="charts/chart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tut.org.rs/download/izvestaji/Izvestaj%20vode%20za%20pice%202019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7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8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9.xm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777777777777776E-2"/>
          <c:y val="9.340381403373528E-2"/>
          <c:w val="0.93888888888888888"/>
          <c:h val="0.74532239414129164"/>
        </c:manualLayout>
      </c:layout>
      <c:lineChart>
        <c:grouping val="standard"/>
        <c:varyColors val="0"/>
        <c:ser>
          <c:idx val="0"/>
          <c:order val="0"/>
          <c:tx>
            <c:strRef>
              <c:f>infrastruktura!$B$2</c:f>
              <c:strCache>
                <c:ptCount val="1"/>
                <c:pt idx="0">
                  <c:v>Бач</c:v>
                </c:pt>
              </c:strCache>
            </c:strRef>
          </c:tx>
          <c:spPr>
            <a:ln w="317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lt1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infrastruktura!$D$4:$L$4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infrastruktura!$D$5:$L$5</c:f>
              <c:numCache>
                <c:formatCode>0.0</c:formatCode>
                <c:ptCount val="9"/>
                <c:pt idx="0">
                  <c:v>1.4</c:v>
                </c:pt>
                <c:pt idx="1">
                  <c:v>0.1</c:v>
                </c:pt>
                <c:pt idx="2">
                  <c:v>0.3</c:v>
                </c:pt>
                <c:pt idx="3">
                  <c:v>0.3</c:v>
                </c:pt>
                <c:pt idx="4">
                  <c:v>0.4</c:v>
                </c:pt>
                <c:pt idx="5">
                  <c:v>0.4</c:v>
                </c:pt>
                <c:pt idx="6">
                  <c:v>0.4</c:v>
                </c:pt>
                <c:pt idx="7">
                  <c:v>0.5</c:v>
                </c:pt>
                <c:pt idx="8">
                  <c:v>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479-485E-8693-E815A9FE87B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679200"/>
        <c:axId val="1226679616"/>
      </c:lineChart>
      <c:catAx>
        <c:axId val="1226679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226679616"/>
        <c:crosses val="autoZero"/>
        <c:auto val="1"/>
        <c:lblAlgn val="ctr"/>
        <c:lblOffset val="100"/>
        <c:noMultiLvlLbl val="0"/>
      </c:catAx>
      <c:valAx>
        <c:axId val="122667961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226679200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1"/>
          </a:outerShdw>
        </a:effectLst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Pt>
            <c:idx val="1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410-4827-894A-846910FC9C80}"/>
              </c:ext>
            </c:extLst>
          </c:dPt>
          <c:dLbls>
            <c:dLbl>
              <c:idx val="1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410-4827-894A-846910FC9C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2F5496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Stanovi_Na_1000!$B$3:$B$23</c:f>
              <c:strCache>
                <c:ptCount val="21"/>
                <c:pt idx="0">
                  <c:v>Чока</c:v>
                </c:pt>
                <c:pt idx="1">
                  <c:v>Бољевац</c:v>
                </c:pt>
                <c:pt idx="2">
                  <c:v>Пландиште</c:v>
                </c:pt>
                <c:pt idx="3">
                  <c:v>Сечањ</c:v>
                </c:pt>
                <c:pt idx="4">
                  <c:v>Алибунар</c:v>
                </c:pt>
                <c:pt idx="5">
                  <c:v>Лучани</c:v>
                </c:pt>
                <c:pt idx="6">
                  <c:v>Мали Иђош</c:v>
                </c:pt>
                <c:pt idx="7">
                  <c:v>Осечина</c:v>
                </c:pt>
                <c:pt idx="8">
                  <c:v>Србобран</c:v>
                </c:pt>
                <c:pt idx="9">
                  <c:v>Владимирци</c:v>
                </c:pt>
                <c:pt idx="10">
                  <c:v>Бела Црква</c:v>
                </c:pt>
                <c:pt idx="11">
                  <c:v>Тител</c:v>
                </c:pt>
                <c:pt idx="12">
                  <c:v>Бач</c:v>
                </c:pt>
                <c:pt idx="13">
                  <c:v>Кнић</c:v>
                </c:pt>
                <c:pt idx="14">
                  <c:v>Житиште</c:v>
                </c:pt>
                <c:pt idx="15">
                  <c:v>Баточина</c:v>
                </c:pt>
                <c:pt idx="16">
                  <c:v>Коцељева</c:v>
                </c:pt>
                <c:pt idx="17">
                  <c:v>Љубовија</c:v>
                </c:pt>
                <c:pt idx="18">
                  <c:v>Кладово</c:v>
                </c:pt>
                <c:pt idx="19">
                  <c:v>Сокобања</c:v>
                </c:pt>
                <c:pt idx="20">
                  <c:v>Велико Градиште</c:v>
                </c:pt>
              </c:strCache>
            </c:strRef>
          </c:cat>
          <c:val>
            <c:numRef>
              <c:f>Stanovi_Na_1000!$C$3:$C$23</c:f>
              <c:numCache>
                <c:formatCode>General</c:formatCode>
                <c:ptCount val="21"/>
                <c:pt idx="0">
                  <c:v>0.1</c:v>
                </c:pt>
                <c:pt idx="1">
                  <c:v>0.2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0.4</c:v>
                </c:pt>
                <c:pt idx="6">
                  <c:v>0.4</c:v>
                </c:pt>
                <c:pt idx="7">
                  <c:v>0.5</c:v>
                </c:pt>
                <c:pt idx="8">
                  <c:v>0.5</c:v>
                </c:pt>
                <c:pt idx="9">
                  <c:v>0.6</c:v>
                </c:pt>
                <c:pt idx="10">
                  <c:v>0.7</c:v>
                </c:pt>
                <c:pt idx="11">
                  <c:v>0.7</c:v>
                </c:pt>
                <c:pt idx="12">
                  <c:v>0.8</c:v>
                </c:pt>
                <c:pt idx="13">
                  <c:v>0.8</c:v>
                </c:pt>
                <c:pt idx="14">
                  <c:v>0.9</c:v>
                </c:pt>
                <c:pt idx="15">
                  <c:v>1.2</c:v>
                </c:pt>
                <c:pt idx="16">
                  <c:v>1.6</c:v>
                </c:pt>
                <c:pt idx="17">
                  <c:v>2.2999999999999998</c:v>
                </c:pt>
                <c:pt idx="18">
                  <c:v>3</c:v>
                </c:pt>
                <c:pt idx="19">
                  <c:v>6.4</c:v>
                </c:pt>
                <c:pt idx="20">
                  <c:v>13.9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10-4827-894A-846910FC9C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-38"/>
        <c:axId val="1490589599"/>
        <c:axId val="1832734159"/>
      </c:barChart>
      <c:catAx>
        <c:axId val="14905895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832734159"/>
        <c:crosses val="autoZero"/>
        <c:auto val="1"/>
        <c:lblAlgn val="ctr"/>
        <c:lblOffset val="100"/>
        <c:noMultiLvlLbl val="0"/>
      </c:catAx>
      <c:valAx>
        <c:axId val="18327341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490589599"/>
        <c:crosses val="autoZero"/>
        <c:crossBetween val="between"/>
        <c:majorUnit val="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777777777777776E-2"/>
          <c:y val="9.340381403373528E-2"/>
          <c:w val="0.93888888888888888"/>
          <c:h val="0.74532239414129164"/>
        </c:manualLayout>
      </c:layout>
      <c:lineChart>
        <c:grouping val="standard"/>
        <c:varyColors val="0"/>
        <c:ser>
          <c:idx val="0"/>
          <c:order val="0"/>
          <c:tx>
            <c:strRef>
              <c:f>infrastruktura!$B$2</c:f>
              <c:strCache>
                <c:ptCount val="1"/>
                <c:pt idx="0">
                  <c:v>Бач</c:v>
                </c:pt>
              </c:strCache>
            </c:strRef>
          </c:tx>
          <c:spPr>
            <a:ln w="317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lt1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infrastruktura!$D$4:$L$4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infrastruktura!$D$8:$L$8</c:f>
              <c:numCache>
                <c:formatCode>0.0</c:formatCode>
                <c:ptCount val="9"/>
                <c:pt idx="0">
                  <c:v>94</c:v>
                </c:pt>
                <c:pt idx="1">
                  <c:v>97.4</c:v>
                </c:pt>
                <c:pt idx="2">
                  <c:v>98.4</c:v>
                </c:pt>
                <c:pt idx="3">
                  <c:v>98.4</c:v>
                </c:pt>
                <c:pt idx="4">
                  <c:v>98.4</c:v>
                </c:pt>
                <c:pt idx="5">
                  <c:v>98.4</c:v>
                </c:pt>
                <c:pt idx="6">
                  <c:v>98.4</c:v>
                </c:pt>
                <c:pt idx="7">
                  <c:v>98.4</c:v>
                </c:pt>
                <c:pt idx="8">
                  <c:v>98.4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C41-499E-B594-1960CF0F7DA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679200"/>
        <c:axId val="1226679616"/>
      </c:lineChart>
      <c:catAx>
        <c:axId val="1226679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226679616"/>
        <c:crosses val="autoZero"/>
        <c:auto val="1"/>
        <c:lblAlgn val="ctr"/>
        <c:lblOffset val="100"/>
        <c:noMultiLvlLbl val="0"/>
      </c:catAx>
      <c:valAx>
        <c:axId val="1226679616"/>
        <c:scaling>
          <c:orientation val="minMax"/>
          <c:max val="100"/>
          <c:min val="93"/>
        </c:scaling>
        <c:delete val="1"/>
        <c:axPos val="l"/>
        <c:numFmt formatCode="0.0" sourceLinked="1"/>
        <c:majorTickMark val="out"/>
        <c:minorTickMark val="none"/>
        <c:tickLblPos val="nextTo"/>
        <c:crossAx val="1226679200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1"/>
          </a:outerShdw>
        </a:effectLst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Pt>
            <c:idx val="17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35FD-431F-A4F0-18F7FA4E2078}"/>
              </c:ext>
            </c:extLst>
          </c:dPt>
          <c:dLbls>
            <c:dLbl>
              <c:idx val="17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5FD-431F-A4F0-18F7FA4E207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2F5496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Vodovod_Procenat!$B$3:$B$22</c:f>
              <c:strCache>
                <c:ptCount val="20"/>
                <c:pt idx="0">
                  <c:v>Кнић</c:v>
                </c:pt>
                <c:pt idx="1">
                  <c:v>Велико Градиште</c:v>
                </c:pt>
                <c:pt idx="2">
                  <c:v>Осечина</c:v>
                </c:pt>
                <c:pt idx="3">
                  <c:v>Љубовија</c:v>
                </c:pt>
                <c:pt idx="4">
                  <c:v>Бољевац</c:v>
                </c:pt>
                <c:pt idx="5">
                  <c:v>Лучани</c:v>
                </c:pt>
                <c:pt idx="6">
                  <c:v>Коцељева</c:v>
                </c:pt>
                <c:pt idx="7">
                  <c:v>Мали Иђош</c:v>
                </c:pt>
                <c:pt idx="8">
                  <c:v>Владимирци</c:v>
                </c:pt>
                <c:pt idx="9">
                  <c:v>Тител</c:v>
                </c:pt>
                <c:pt idx="10">
                  <c:v>Бела Црква</c:v>
                </c:pt>
                <c:pt idx="11">
                  <c:v>Пландиште</c:v>
                </c:pt>
                <c:pt idx="12">
                  <c:v>Сокобања</c:v>
                </c:pt>
                <c:pt idx="13">
                  <c:v>Кладово</c:v>
                </c:pt>
                <c:pt idx="14">
                  <c:v>Србобран</c:v>
                </c:pt>
                <c:pt idx="15">
                  <c:v>Житиште</c:v>
                </c:pt>
                <c:pt idx="16">
                  <c:v>Чока</c:v>
                </c:pt>
                <c:pt idx="17">
                  <c:v>Бач</c:v>
                </c:pt>
                <c:pt idx="18">
                  <c:v>Сечањ</c:v>
                </c:pt>
                <c:pt idx="19">
                  <c:v>Алибунар</c:v>
                </c:pt>
              </c:strCache>
            </c:strRef>
          </c:cat>
          <c:val>
            <c:numRef>
              <c:f>Vodovod_Procenat!$C$3:$C$22</c:f>
              <c:numCache>
                <c:formatCode>General</c:formatCode>
                <c:ptCount val="20"/>
                <c:pt idx="0">
                  <c:v>33.6</c:v>
                </c:pt>
                <c:pt idx="1">
                  <c:v>54.6</c:v>
                </c:pt>
                <c:pt idx="2">
                  <c:v>63.1</c:v>
                </c:pt>
                <c:pt idx="3">
                  <c:v>64.599999999999994</c:v>
                </c:pt>
                <c:pt idx="4">
                  <c:v>64.7</c:v>
                </c:pt>
                <c:pt idx="5">
                  <c:v>65.5</c:v>
                </c:pt>
                <c:pt idx="6">
                  <c:v>66.8</c:v>
                </c:pt>
                <c:pt idx="7">
                  <c:v>77.7</c:v>
                </c:pt>
                <c:pt idx="8">
                  <c:v>81.099999999999994</c:v>
                </c:pt>
                <c:pt idx="9">
                  <c:v>82.7</c:v>
                </c:pt>
                <c:pt idx="10">
                  <c:v>85.2</c:v>
                </c:pt>
                <c:pt idx="11">
                  <c:v>86.5</c:v>
                </c:pt>
                <c:pt idx="12">
                  <c:v>86.7</c:v>
                </c:pt>
                <c:pt idx="13">
                  <c:v>91.9</c:v>
                </c:pt>
                <c:pt idx="14">
                  <c:v>94.8</c:v>
                </c:pt>
                <c:pt idx="15">
                  <c:v>95.9</c:v>
                </c:pt>
                <c:pt idx="16">
                  <c:v>96.2</c:v>
                </c:pt>
                <c:pt idx="17">
                  <c:v>98.4</c:v>
                </c:pt>
                <c:pt idx="18">
                  <c:v>99.5</c:v>
                </c:pt>
                <c:pt idx="19">
                  <c:v>99.7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5FD-431F-A4F0-18F7FA4E20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-38"/>
        <c:axId val="1371848527"/>
        <c:axId val="880550735"/>
      </c:barChart>
      <c:catAx>
        <c:axId val="13718485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880550735"/>
        <c:crosses val="autoZero"/>
        <c:auto val="1"/>
        <c:lblAlgn val="ctr"/>
        <c:lblOffset val="100"/>
        <c:noMultiLvlLbl val="0"/>
      </c:catAx>
      <c:valAx>
        <c:axId val="880550735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371848527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777777777777776E-2"/>
          <c:y val="9.340381403373528E-2"/>
          <c:w val="0.93888888888888888"/>
          <c:h val="0.74532239414129164"/>
        </c:manualLayout>
      </c:layout>
      <c:lineChart>
        <c:grouping val="standard"/>
        <c:varyColors val="0"/>
        <c:ser>
          <c:idx val="0"/>
          <c:order val="0"/>
          <c:tx>
            <c:strRef>
              <c:f>infrastruktura!$B$2</c:f>
              <c:strCache>
                <c:ptCount val="1"/>
                <c:pt idx="0">
                  <c:v>Бач</c:v>
                </c:pt>
              </c:strCache>
            </c:strRef>
          </c:tx>
          <c:spPr>
            <a:ln w="317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lt1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infrastruktura!$H$11:$M$11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infrastruktura!$H$12:$M$12</c:f>
              <c:numCache>
                <c:formatCode>0.0</c:formatCode>
                <c:ptCount val="6"/>
                <c:pt idx="0">
                  <c:v>0.51135927347136989</c:v>
                </c:pt>
                <c:pt idx="1">
                  <c:v>3.3124347945906574</c:v>
                </c:pt>
                <c:pt idx="2">
                  <c:v>3.0065387203699165</c:v>
                </c:pt>
                <c:pt idx="3">
                  <c:v>4.1789246354022662</c:v>
                </c:pt>
                <c:pt idx="4">
                  <c:v>0.46674025271062086</c:v>
                </c:pt>
                <c:pt idx="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10A-47D2-81A3-A6B586641EB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679200"/>
        <c:axId val="1226679616"/>
      </c:lineChart>
      <c:catAx>
        <c:axId val="1226679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226679616"/>
        <c:crosses val="autoZero"/>
        <c:auto val="1"/>
        <c:lblAlgn val="ctr"/>
        <c:lblOffset val="100"/>
        <c:noMultiLvlLbl val="0"/>
      </c:catAx>
      <c:valAx>
        <c:axId val="122667961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226679200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1"/>
          </a:outerShdw>
        </a:effectLst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777777777777776E-2"/>
          <c:y val="9.340381403373528E-2"/>
          <c:w val="0.93888888888888888"/>
          <c:h val="0.74532239414129164"/>
        </c:manualLayout>
      </c:layout>
      <c:lineChart>
        <c:grouping val="standard"/>
        <c:varyColors val="0"/>
        <c:ser>
          <c:idx val="0"/>
          <c:order val="0"/>
          <c:tx>
            <c:strRef>
              <c:f>infrastruktura!$B$2</c:f>
              <c:strCache>
                <c:ptCount val="1"/>
                <c:pt idx="0">
                  <c:v>Бач</c:v>
                </c:pt>
              </c:strCache>
            </c:strRef>
          </c:tx>
          <c:spPr>
            <a:ln w="317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lt1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infrastruktura!$D$4:$L$4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infrastruktura!$D$6:$L$6</c:f>
              <c:numCache>
                <c:formatCode>0.0</c:formatCode>
                <c:ptCount val="9"/>
                <c:pt idx="0">
                  <c:v>0.3</c:v>
                </c:pt>
                <c:pt idx="1">
                  <c:v>0.3</c:v>
                </c:pt>
                <c:pt idx="2">
                  <c:v>0.3</c:v>
                </c:pt>
                <c:pt idx="3">
                  <c:v>0.2</c:v>
                </c:pt>
                <c:pt idx="4">
                  <c:v>0.2</c:v>
                </c:pt>
                <c:pt idx="5">
                  <c:v>0.2</c:v>
                </c:pt>
                <c:pt idx="6">
                  <c:v>0.3</c:v>
                </c:pt>
                <c:pt idx="7">
                  <c:v>0.3</c:v>
                </c:pt>
                <c:pt idx="8">
                  <c:v>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537-4E7A-926B-2E7BFD7BAD1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679200"/>
        <c:axId val="1226679616"/>
      </c:lineChart>
      <c:catAx>
        <c:axId val="1226679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226679616"/>
        <c:crosses val="autoZero"/>
        <c:auto val="1"/>
        <c:lblAlgn val="ctr"/>
        <c:lblOffset val="100"/>
        <c:noMultiLvlLbl val="0"/>
      </c:catAx>
      <c:valAx>
        <c:axId val="122667961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226679200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1"/>
          </a:outerShdw>
        </a:effectLst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FFA-417E-8CB0-263B4B711A50}"/>
              </c:ext>
            </c:extLst>
          </c:dPt>
          <c:dLbls>
            <c:dLbl>
              <c:idx val="6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FFA-417E-8CB0-263B4B711A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2F5496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Gustina_Puteva!$B$3:$B$23</c:f>
              <c:strCache>
                <c:ptCount val="21"/>
                <c:pt idx="0">
                  <c:v>Алибунар</c:v>
                </c:pt>
                <c:pt idx="1">
                  <c:v>Бела Црква</c:v>
                </c:pt>
                <c:pt idx="2">
                  <c:v>Житиште</c:v>
                </c:pt>
                <c:pt idx="3">
                  <c:v>Сечањ</c:v>
                </c:pt>
                <c:pt idx="4">
                  <c:v>Тител</c:v>
                </c:pt>
                <c:pt idx="5">
                  <c:v>Чока</c:v>
                </c:pt>
                <c:pt idx="6">
                  <c:v>Бач</c:v>
                </c:pt>
                <c:pt idx="7">
                  <c:v>Бољевац</c:v>
                </c:pt>
                <c:pt idx="8">
                  <c:v>Сокобања</c:v>
                </c:pt>
                <c:pt idx="9">
                  <c:v>Кладово</c:v>
                </c:pt>
                <c:pt idx="10">
                  <c:v>Пландиште</c:v>
                </c:pt>
                <c:pt idx="11">
                  <c:v>Велико Градиште</c:v>
                </c:pt>
                <c:pt idx="12">
                  <c:v>Кнић</c:v>
                </c:pt>
                <c:pt idx="13">
                  <c:v>Мали Иђош</c:v>
                </c:pt>
                <c:pt idx="14">
                  <c:v>Србобран</c:v>
                </c:pt>
                <c:pt idx="15">
                  <c:v>Лучани</c:v>
                </c:pt>
                <c:pt idx="16">
                  <c:v>Љубовија</c:v>
                </c:pt>
                <c:pt idx="17">
                  <c:v>Баточина</c:v>
                </c:pt>
                <c:pt idx="18">
                  <c:v>Осечина</c:v>
                </c:pt>
                <c:pt idx="19">
                  <c:v>Владимирци</c:v>
                </c:pt>
                <c:pt idx="20">
                  <c:v>Коцељева</c:v>
                </c:pt>
              </c:strCache>
            </c:strRef>
          </c:cat>
          <c:val>
            <c:numRef>
              <c:f>Gustina_Puteva!$C$3:$C$23</c:f>
              <c:numCache>
                <c:formatCode>General</c:formatCode>
                <c:ptCount val="21"/>
                <c:pt idx="0">
                  <c:v>0.1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0.2</c:v>
                </c:pt>
                <c:pt idx="5">
                  <c:v>0.2</c:v>
                </c:pt>
                <c:pt idx="6">
                  <c:v>0.3</c:v>
                </c:pt>
                <c:pt idx="7">
                  <c:v>0.3</c:v>
                </c:pt>
                <c:pt idx="8">
                  <c:v>0.3</c:v>
                </c:pt>
                <c:pt idx="9">
                  <c:v>0.4</c:v>
                </c:pt>
                <c:pt idx="10">
                  <c:v>0.4</c:v>
                </c:pt>
                <c:pt idx="11">
                  <c:v>0.5</c:v>
                </c:pt>
                <c:pt idx="12">
                  <c:v>0.5</c:v>
                </c:pt>
                <c:pt idx="13">
                  <c:v>0.5</c:v>
                </c:pt>
                <c:pt idx="14">
                  <c:v>0.5</c:v>
                </c:pt>
                <c:pt idx="15">
                  <c:v>0.6</c:v>
                </c:pt>
                <c:pt idx="16">
                  <c:v>0.6</c:v>
                </c:pt>
                <c:pt idx="17">
                  <c:v>0.7</c:v>
                </c:pt>
                <c:pt idx="18">
                  <c:v>0.7</c:v>
                </c:pt>
                <c:pt idx="19">
                  <c:v>0.8</c:v>
                </c:pt>
                <c:pt idx="20">
                  <c:v>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FFA-417E-8CB0-263B4B711A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-38"/>
        <c:axId val="319380464"/>
        <c:axId val="324976224"/>
      </c:barChart>
      <c:catAx>
        <c:axId val="319380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324976224"/>
        <c:crosses val="autoZero"/>
        <c:auto val="1"/>
        <c:lblAlgn val="ctr"/>
        <c:lblOffset val="100"/>
        <c:noMultiLvlLbl val="0"/>
      </c:catAx>
      <c:valAx>
        <c:axId val="324976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319380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777777777777776E-2"/>
          <c:y val="9.340381403373528E-2"/>
          <c:w val="0.93888888888888888"/>
          <c:h val="0.74532239414129164"/>
        </c:manualLayout>
      </c:layout>
      <c:lineChart>
        <c:grouping val="standard"/>
        <c:varyColors val="0"/>
        <c:ser>
          <c:idx val="0"/>
          <c:order val="0"/>
          <c:tx>
            <c:strRef>
              <c:f>infrastruktura!$B$2</c:f>
              <c:strCache>
                <c:ptCount val="1"/>
                <c:pt idx="0">
                  <c:v>Бач</c:v>
                </c:pt>
              </c:strCache>
            </c:strRef>
          </c:tx>
          <c:spPr>
            <a:ln w="317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lt1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infrastruktura!$H$11:$M$11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infrastruktura!$H$13:$M$13</c:f>
              <c:numCache>
                <c:formatCode>0.0</c:formatCode>
                <c:ptCount val="6"/>
                <c:pt idx="0">
                  <c:v>4.8018794113557455</c:v>
                </c:pt>
                <c:pt idx="1">
                  <c:v>0.29157890592704866</c:v>
                </c:pt>
                <c:pt idx="2">
                  <c:v>5.3424295655829219</c:v>
                </c:pt>
                <c:pt idx="3">
                  <c:v>22.26185439017797</c:v>
                </c:pt>
                <c:pt idx="4">
                  <c:v>20.015980560051947</c:v>
                </c:pt>
                <c:pt idx="5">
                  <c:v>25.757834980201576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952-4101-A49C-7E128157233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679200"/>
        <c:axId val="1226679616"/>
      </c:lineChart>
      <c:catAx>
        <c:axId val="1226679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226679616"/>
        <c:crosses val="autoZero"/>
        <c:auto val="1"/>
        <c:lblAlgn val="ctr"/>
        <c:lblOffset val="100"/>
        <c:noMultiLvlLbl val="0"/>
      </c:catAx>
      <c:valAx>
        <c:axId val="122667961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226679200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1"/>
          </a:outerShdw>
        </a:effectLst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7777777777777776E-2"/>
          <c:y val="9.340381403373528E-2"/>
          <c:w val="0.93888888888888888"/>
          <c:h val="0.74532239414129164"/>
        </c:manualLayout>
      </c:layout>
      <c:lineChart>
        <c:grouping val="standard"/>
        <c:varyColors val="0"/>
        <c:ser>
          <c:idx val="0"/>
          <c:order val="0"/>
          <c:tx>
            <c:strRef>
              <c:f>infrastruktura!$B$2</c:f>
              <c:strCache>
                <c:ptCount val="1"/>
                <c:pt idx="0">
                  <c:v>Бач</c:v>
                </c:pt>
              </c:strCache>
            </c:strRef>
          </c:tx>
          <c:spPr>
            <a:ln w="317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lt1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infrastruktura!$H$11:$M$11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infrastruktura!$H$14:$M$14</c:f>
              <c:numCache>
                <c:formatCode>0.0</c:formatCode>
                <c:ptCount val="6"/>
                <c:pt idx="0">
                  <c:v>1.5598118098258182</c:v>
                </c:pt>
                <c:pt idx="1">
                  <c:v>2.011771421822405</c:v>
                </c:pt>
                <c:pt idx="2">
                  <c:v>2.6928112641076125</c:v>
                </c:pt>
                <c:pt idx="3">
                  <c:v>2.20290557825555</c:v>
                </c:pt>
                <c:pt idx="4">
                  <c:v>2.7882387920308123</c:v>
                </c:pt>
                <c:pt idx="5">
                  <c:v>1.600376966221901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7EC-43DF-B0C6-A284D2F212D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679200"/>
        <c:axId val="1226679616"/>
      </c:lineChart>
      <c:catAx>
        <c:axId val="1226679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1226679616"/>
        <c:crosses val="autoZero"/>
        <c:auto val="1"/>
        <c:lblAlgn val="ctr"/>
        <c:lblOffset val="100"/>
        <c:noMultiLvlLbl val="0"/>
      </c:catAx>
      <c:valAx>
        <c:axId val="122667961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226679200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1"/>
          </a:outerShdw>
        </a:effectLst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A336CCEFF214494797E5BB79162B8" ma:contentTypeVersion="12" ma:contentTypeDescription="Create a new document." ma:contentTypeScope="" ma:versionID="79008e3f376eaef897f4c7a7fa3ad5aa">
  <xsd:schema xmlns:xsd="http://www.w3.org/2001/XMLSchema" xmlns:xs="http://www.w3.org/2001/XMLSchema" xmlns:p="http://schemas.microsoft.com/office/2006/metadata/properties" xmlns:ns2="63dd2753-8875-4d2e-8ba6-fd14822bbc7a" xmlns:ns3="01978329-ac0a-4147-87e8-31313703e7e2" targetNamespace="http://schemas.microsoft.com/office/2006/metadata/properties" ma:root="true" ma:fieldsID="a07209d5f07374f1af59ead9b161cd38" ns2:_="" ns3:_="">
    <xsd:import namespace="63dd2753-8875-4d2e-8ba6-fd14822bbc7a"/>
    <xsd:import namespace="01978329-ac0a-4147-87e8-31313703e7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d2753-8875-4d2e-8ba6-fd14822bb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78329-ac0a-4147-87e8-31313703e7e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29749A-A54A-4349-93A5-778745FBB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dd2753-8875-4d2e-8ba6-fd14822bbc7a"/>
    <ds:schemaRef ds:uri="01978329-ac0a-4147-87e8-31313703e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C9242-0C53-4D46-8F8D-0F85A2B30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018C27-4485-4FBC-9423-E1582D38A6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A8BF96-5A4B-4CA8-BA97-708730C5BC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8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Macura</dc:creator>
  <cp:keywords/>
  <dc:description/>
  <cp:lastModifiedBy>Jelena Pločić</cp:lastModifiedBy>
  <cp:revision>170</cp:revision>
  <dcterms:created xsi:type="dcterms:W3CDTF">2021-09-07T06:38:00Z</dcterms:created>
  <dcterms:modified xsi:type="dcterms:W3CDTF">2021-11-10T10:59:00Z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0x010100B61A336CCEFF214494797E5BB79162B8</vt:lpwstr>
  </property>
</Properties>
</file>